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29880" w14:textId="23343246" w:rsidR="00421D4B" w:rsidRPr="00312C6E" w:rsidRDefault="00263BE3" w:rsidP="00FE33D9">
      <w:pPr>
        <w:tabs>
          <w:tab w:val="left" w:pos="1966"/>
          <w:tab w:val="right" w:pos="8786"/>
        </w:tabs>
        <w:jc w:val="center"/>
        <w:rPr>
          <w:rFonts w:ascii="Arial" w:hAnsi="Arial" w:cs="Arial"/>
          <w:b/>
          <w:sz w:val="20"/>
          <w:szCs w:val="20"/>
        </w:rPr>
      </w:pPr>
      <w:r>
        <w:rPr>
          <w:rFonts w:ascii="Arial" w:hAnsi="Arial" w:cs="Arial"/>
          <w:b/>
          <w:sz w:val="20"/>
          <w:szCs w:val="20"/>
        </w:rPr>
        <w:br/>
      </w:r>
    </w:p>
    <w:p w14:paraId="29A12E95" w14:textId="77777777" w:rsidR="00421D4B" w:rsidRPr="00312C6E" w:rsidRDefault="00421D4B" w:rsidP="00184154">
      <w:pPr>
        <w:tabs>
          <w:tab w:val="left" w:pos="1966"/>
          <w:tab w:val="right" w:pos="8786"/>
        </w:tabs>
        <w:jc w:val="center"/>
        <w:rPr>
          <w:rFonts w:ascii="Arial" w:hAnsi="Arial" w:cs="Arial"/>
          <w:b/>
          <w:sz w:val="20"/>
          <w:szCs w:val="20"/>
        </w:rPr>
      </w:pPr>
    </w:p>
    <w:p w14:paraId="0FD61C23" w14:textId="1D5E7BEC" w:rsidR="00421D4B" w:rsidRPr="000D0B81" w:rsidRDefault="0068447E" w:rsidP="00184154">
      <w:pPr>
        <w:jc w:val="right"/>
        <w:rPr>
          <w:rFonts w:ascii="Arial" w:hAnsi="Arial" w:cs="Arial"/>
          <w:b/>
          <w:sz w:val="20"/>
          <w:szCs w:val="20"/>
          <w:highlight w:val="yellow"/>
        </w:rPr>
      </w:pPr>
      <w:r w:rsidRPr="000D0B81">
        <w:rPr>
          <w:rFonts w:ascii="Arial" w:hAnsi="Arial" w:cs="Arial"/>
          <w:b/>
          <w:sz w:val="20"/>
          <w:szCs w:val="20"/>
          <w:highlight w:val="yellow"/>
        </w:rPr>
        <w:t>AMC-DA</w:t>
      </w:r>
      <w:r w:rsidR="00421D4B" w:rsidRPr="000D0B81">
        <w:rPr>
          <w:rFonts w:ascii="Arial" w:hAnsi="Arial" w:cs="Arial"/>
          <w:b/>
          <w:sz w:val="20"/>
          <w:szCs w:val="20"/>
          <w:highlight w:val="yellow"/>
        </w:rPr>
        <w:t>-</w:t>
      </w:r>
      <w:r w:rsidR="00BF1C03" w:rsidRPr="000D0B81">
        <w:rPr>
          <w:rFonts w:ascii="Arial" w:hAnsi="Arial" w:cs="Arial"/>
          <w:b/>
          <w:sz w:val="20"/>
          <w:szCs w:val="20"/>
          <w:highlight w:val="yellow"/>
        </w:rPr>
        <w:t>0</w:t>
      </w:r>
      <w:r w:rsidRPr="000D0B81">
        <w:rPr>
          <w:rFonts w:ascii="Arial" w:hAnsi="Arial" w:cs="Arial"/>
          <w:b/>
          <w:sz w:val="20"/>
          <w:szCs w:val="20"/>
          <w:highlight w:val="yellow"/>
        </w:rPr>
        <w:t>XXX</w:t>
      </w:r>
      <w:r w:rsidR="00DD522B" w:rsidRPr="000D0B81">
        <w:rPr>
          <w:rFonts w:ascii="Arial" w:hAnsi="Arial" w:cs="Arial"/>
          <w:b/>
          <w:sz w:val="20"/>
          <w:szCs w:val="20"/>
          <w:highlight w:val="yellow"/>
        </w:rPr>
        <w:t>-2026</w:t>
      </w:r>
    </w:p>
    <w:p w14:paraId="2EA94419" w14:textId="771AE0D6" w:rsidR="00421D4B" w:rsidRPr="00312C6E" w:rsidRDefault="00421D4B" w:rsidP="00184154">
      <w:pPr>
        <w:jc w:val="right"/>
        <w:rPr>
          <w:rFonts w:ascii="Arial" w:hAnsi="Arial" w:cs="Arial"/>
          <w:b/>
          <w:sz w:val="20"/>
          <w:szCs w:val="20"/>
        </w:rPr>
      </w:pPr>
      <w:r w:rsidRPr="000D0B81">
        <w:rPr>
          <w:rFonts w:ascii="Arial" w:hAnsi="Arial" w:cs="Arial"/>
          <w:b/>
          <w:sz w:val="20"/>
          <w:szCs w:val="20"/>
          <w:highlight w:val="yellow"/>
        </w:rPr>
        <w:t xml:space="preserve">Cajicá, </w:t>
      </w:r>
      <w:r w:rsidR="00DB17C9">
        <w:rPr>
          <w:rFonts w:ascii="Arial" w:hAnsi="Arial" w:cs="Arial"/>
          <w:b/>
          <w:sz w:val="20"/>
          <w:szCs w:val="20"/>
          <w:highlight w:val="yellow"/>
        </w:rPr>
        <w:t>quince</w:t>
      </w:r>
      <w:r w:rsidR="0063101B" w:rsidRPr="000D0B81">
        <w:rPr>
          <w:rFonts w:ascii="Arial" w:hAnsi="Arial" w:cs="Arial"/>
          <w:b/>
          <w:sz w:val="20"/>
          <w:szCs w:val="20"/>
          <w:highlight w:val="yellow"/>
        </w:rPr>
        <w:t xml:space="preserve"> </w:t>
      </w:r>
      <w:r w:rsidRPr="000D0B81">
        <w:rPr>
          <w:rFonts w:ascii="Arial" w:hAnsi="Arial" w:cs="Arial"/>
          <w:b/>
          <w:sz w:val="20"/>
          <w:szCs w:val="20"/>
          <w:highlight w:val="yellow"/>
        </w:rPr>
        <w:t>(</w:t>
      </w:r>
      <w:r w:rsidR="00DB17C9">
        <w:rPr>
          <w:rFonts w:ascii="Arial" w:hAnsi="Arial" w:cs="Arial"/>
          <w:b/>
          <w:sz w:val="20"/>
          <w:szCs w:val="20"/>
          <w:highlight w:val="yellow"/>
        </w:rPr>
        <w:t>15</w:t>
      </w:r>
      <w:r w:rsidRPr="000D0B81">
        <w:rPr>
          <w:rFonts w:ascii="Arial" w:hAnsi="Arial" w:cs="Arial"/>
          <w:b/>
          <w:sz w:val="20"/>
          <w:szCs w:val="20"/>
          <w:highlight w:val="yellow"/>
        </w:rPr>
        <w:t xml:space="preserve">) de </w:t>
      </w:r>
      <w:r w:rsidR="0068447E" w:rsidRPr="000D0B81">
        <w:rPr>
          <w:rFonts w:ascii="Arial" w:hAnsi="Arial" w:cs="Arial"/>
          <w:b/>
          <w:sz w:val="20"/>
          <w:szCs w:val="20"/>
          <w:highlight w:val="yellow"/>
        </w:rPr>
        <w:t>julio</w:t>
      </w:r>
      <w:r w:rsidR="00DD522B" w:rsidRPr="000D0B81">
        <w:rPr>
          <w:rFonts w:ascii="Arial" w:hAnsi="Arial" w:cs="Arial"/>
          <w:b/>
          <w:sz w:val="20"/>
          <w:szCs w:val="20"/>
          <w:highlight w:val="yellow"/>
        </w:rPr>
        <w:t xml:space="preserve"> de 2026</w:t>
      </w:r>
    </w:p>
    <w:p w14:paraId="7D9D2C05" w14:textId="77777777" w:rsidR="004B2542" w:rsidRDefault="004B2542" w:rsidP="008042F9">
      <w:pPr>
        <w:jc w:val="both"/>
        <w:rPr>
          <w:rFonts w:ascii="Arial" w:hAnsi="Arial" w:cs="Arial"/>
          <w:b/>
          <w:bCs/>
          <w:sz w:val="20"/>
          <w:szCs w:val="20"/>
        </w:rPr>
      </w:pPr>
    </w:p>
    <w:p w14:paraId="6005B7EA" w14:textId="77777777" w:rsidR="006F28D8" w:rsidRPr="00DB17C9" w:rsidRDefault="006F28D8" w:rsidP="00DB17C9">
      <w:pPr>
        <w:jc w:val="both"/>
        <w:rPr>
          <w:rFonts w:ascii="Arial" w:hAnsi="Arial" w:cs="Arial"/>
          <w:b/>
          <w:bCs/>
          <w:sz w:val="22"/>
          <w:szCs w:val="22"/>
        </w:rPr>
      </w:pPr>
    </w:p>
    <w:p w14:paraId="260EC868" w14:textId="77777777" w:rsidR="00DB17C9" w:rsidRDefault="00DB17C9" w:rsidP="00DB17C9">
      <w:pPr>
        <w:jc w:val="both"/>
        <w:rPr>
          <w:rFonts w:ascii="Arial" w:eastAsia="source serif 4" w:hAnsi="Arial" w:cs="Arial"/>
          <w:b/>
          <w:color w:val="000000"/>
          <w:sz w:val="22"/>
          <w:szCs w:val="22"/>
        </w:rPr>
      </w:pPr>
    </w:p>
    <w:p w14:paraId="2329DD94" w14:textId="5D306E92" w:rsidR="00DB17C9" w:rsidRPr="00DB17C9" w:rsidRDefault="00DB17C9" w:rsidP="00DB17C9">
      <w:pPr>
        <w:jc w:val="both"/>
        <w:rPr>
          <w:rFonts w:ascii="Arial" w:hAnsi="Arial" w:cs="Arial"/>
          <w:sz w:val="22"/>
          <w:szCs w:val="22"/>
        </w:rPr>
      </w:pPr>
      <w:r w:rsidRPr="00DB17C9">
        <w:rPr>
          <w:rFonts w:ascii="Arial" w:eastAsia="source serif 4" w:hAnsi="Arial" w:cs="Arial"/>
          <w:b/>
          <w:color w:val="000000"/>
          <w:sz w:val="22"/>
          <w:szCs w:val="22"/>
        </w:rPr>
        <w:t>Señores</w:t>
      </w:r>
    </w:p>
    <w:p w14:paraId="18263389" w14:textId="77777777" w:rsidR="00DB17C9" w:rsidRPr="00DB17C9" w:rsidRDefault="00DB17C9" w:rsidP="00DB17C9">
      <w:pPr>
        <w:jc w:val="both"/>
        <w:rPr>
          <w:rFonts w:ascii="Arial" w:eastAsia="source serif 4" w:hAnsi="Arial" w:cs="Arial"/>
          <w:b/>
          <w:color w:val="000000"/>
          <w:sz w:val="22"/>
          <w:szCs w:val="22"/>
        </w:rPr>
      </w:pPr>
      <w:r w:rsidRPr="00DB17C9">
        <w:rPr>
          <w:rFonts w:ascii="Arial" w:eastAsia="source serif 4" w:hAnsi="Arial" w:cs="Arial"/>
          <w:b/>
          <w:color w:val="000000"/>
          <w:sz w:val="22"/>
          <w:szCs w:val="22"/>
        </w:rPr>
        <w:t>CONTRALORÍA DE CUNDINAMARCA</w:t>
      </w:r>
    </w:p>
    <w:p w14:paraId="0C93CE2A" w14:textId="77777777" w:rsidR="00DB17C9" w:rsidRPr="00DB17C9" w:rsidRDefault="00DB17C9" w:rsidP="00DB17C9">
      <w:pPr>
        <w:jc w:val="both"/>
        <w:rPr>
          <w:rFonts w:ascii="Arial" w:eastAsia="source serif 4" w:hAnsi="Arial" w:cs="Arial"/>
          <w:b/>
          <w:color w:val="000000"/>
          <w:sz w:val="22"/>
          <w:szCs w:val="22"/>
        </w:rPr>
      </w:pPr>
      <w:r w:rsidRPr="00DB17C9">
        <w:rPr>
          <w:rFonts w:ascii="Arial" w:eastAsia="source serif 4" w:hAnsi="Arial" w:cs="Arial"/>
          <w:b/>
          <w:color w:val="000000"/>
          <w:sz w:val="22"/>
          <w:szCs w:val="22"/>
        </w:rPr>
        <w:t>Dr. Jeisson Fabian Lamprea Vargas</w:t>
      </w:r>
    </w:p>
    <w:p w14:paraId="1D58C800" w14:textId="77777777" w:rsidR="00DB17C9" w:rsidRPr="00DB17C9" w:rsidRDefault="00DB17C9" w:rsidP="00DB17C9">
      <w:pPr>
        <w:jc w:val="both"/>
        <w:rPr>
          <w:rFonts w:ascii="Arial" w:eastAsia="source serif 4" w:hAnsi="Arial" w:cs="Arial"/>
          <w:color w:val="000000"/>
          <w:sz w:val="22"/>
          <w:szCs w:val="22"/>
        </w:rPr>
      </w:pPr>
      <w:r w:rsidRPr="00DB17C9">
        <w:rPr>
          <w:rFonts w:ascii="Arial" w:eastAsia="source serif 4" w:hAnsi="Arial" w:cs="Arial"/>
          <w:color w:val="000000"/>
          <w:sz w:val="22"/>
          <w:szCs w:val="22"/>
        </w:rPr>
        <w:t>Subdirección de Procesos de Responsabilidad Fiscal</w:t>
      </w:r>
    </w:p>
    <w:p w14:paraId="71FD57F4" w14:textId="77777777" w:rsidR="00DB17C9" w:rsidRPr="00DB17C9" w:rsidRDefault="00DB17C9" w:rsidP="00DB17C9">
      <w:pPr>
        <w:jc w:val="both"/>
        <w:rPr>
          <w:rFonts w:ascii="Arial" w:eastAsia="source serif 4" w:hAnsi="Arial" w:cs="Arial"/>
          <w:color w:val="000000"/>
          <w:sz w:val="22"/>
          <w:szCs w:val="22"/>
        </w:rPr>
      </w:pPr>
      <w:r w:rsidRPr="00DB17C9">
        <w:rPr>
          <w:rFonts w:ascii="Arial" w:eastAsia="source serif 4" w:hAnsi="Arial" w:cs="Arial"/>
          <w:color w:val="000000"/>
          <w:sz w:val="22"/>
          <w:szCs w:val="22"/>
        </w:rPr>
        <w:t>At. Abogado Sustanciador Dr. Iván Camilo López Pinzón</w:t>
      </w:r>
    </w:p>
    <w:p w14:paraId="1F240F13" w14:textId="77777777" w:rsidR="00DB17C9" w:rsidRPr="00DB17C9" w:rsidRDefault="00DB17C9" w:rsidP="00DB17C9">
      <w:pPr>
        <w:jc w:val="both"/>
        <w:rPr>
          <w:rFonts w:ascii="Arial" w:hAnsi="Arial" w:cs="Arial"/>
          <w:sz w:val="22"/>
          <w:szCs w:val="22"/>
        </w:rPr>
      </w:pPr>
      <w:r w:rsidRPr="00DB17C9">
        <w:rPr>
          <w:rFonts w:ascii="Arial" w:eastAsia="source serif 4" w:hAnsi="Arial" w:cs="Arial"/>
          <w:color w:val="000000"/>
          <w:sz w:val="22"/>
          <w:szCs w:val="22"/>
        </w:rPr>
        <w:t xml:space="preserve">E. </w:t>
      </w:r>
      <w:r w:rsidRPr="00DB17C9">
        <w:rPr>
          <w:rFonts w:ascii="Arial" w:eastAsia="source serif 4" w:hAnsi="Arial" w:cs="Arial"/>
          <w:color w:val="000000"/>
          <w:sz w:val="22"/>
          <w:szCs w:val="22"/>
        </w:rPr>
        <w:tab/>
      </w:r>
      <w:r w:rsidRPr="00DB17C9">
        <w:rPr>
          <w:rFonts w:ascii="Arial" w:eastAsia="source serif 4" w:hAnsi="Arial" w:cs="Arial"/>
          <w:color w:val="000000"/>
          <w:sz w:val="22"/>
          <w:szCs w:val="22"/>
        </w:rPr>
        <w:tab/>
        <w:t xml:space="preserve">S. </w:t>
      </w:r>
      <w:r w:rsidRPr="00DB17C9">
        <w:rPr>
          <w:rFonts w:ascii="Arial" w:eastAsia="source serif 4" w:hAnsi="Arial" w:cs="Arial"/>
          <w:color w:val="000000"/>
          <w:sz w:val="22"/>
          <w:szCs w:val="22"/>
        </w:rPr>
        <w:tab/>
      </w:r>
      <w:r w:rsidRPr="00DB17C9">
        <w:rPr>
          <w:rFonts w:ascii="Arial" w:eastAsia="source serif 4" w:hAnsi="Arial" w:cs="Arial"/>
          <w:color w:val="000000"/>
          <w:sz w:val="22"/>
          <w:szCs w:val="22"/>
        </w:rPr>
        <w:tab/>
        <w:t>D.</w:t>
      </w:r>
    </w:p>
    <w:p w14:paraId="456300E0" w14:textId="77777777" w:rsidR="00DB17C9" w:rsidRDefault="00DB17C9" w:rsidP="00DB17C9">
      <w:pPr>
        <w:spacing w:after="210"/>
        <w:jc w:val="both"/>
        <w:rPr>
          <w:rFonts w:ascii="Arial" w:eastAsia="source serif 4" w:hAnsi="Arial" w:cs="Arial"/>
          <w:b/>
          <w:color w:val="000000"/>
          <w:sz w:val="22"/>
          <w:szCs w:val="22"/>
        </w:rPr>
      </w:pPr>
    </w:p>
    <w:p w14:paraId="45BB7128" w14:textId="77777777" w:rsidR="0000349C" w:rsidRPr="00DB17C9" w:rsidRDefault="0000349C" w:rsidP="00DB17C9">
      <w:pPr>
        <w:spacing w:after="210"/>
        <w:jc w:val="both"/>
        <w:rPr>
          <w:rFonts w:ascii="Arial" w:eastAsia="source serif 4" w:hAnsi="Arial" w:cs="Arial"/>
          <w:b/>
          <w:color w:val="000000"/>
          <w:sz w:val="22"/>
          <w:szCs w:val="22"/>
        </w:rPr>
      </w:pPr>
    </w:p>
    <w:p w14:paraId="02257B54" w14:textId="77777777" w:rsidR="00DB17C9" w:rsidRPr="00DB17C9" w:rsidRDefault="00DB17C9" w:rsidP="00DB17C9">
      <w:pPr>
        <w:spacing w:after="210"/>
        <w:jc w:val="both"/>
        <w:rPr>
          <w:rFonts w:ascii="Arial" w:eastAsia="source serif 4" w:hAnsi="Arial" w:cs="Arial"/>
          <w:color w:val="000000"/>
          <w:sz w:val="22"/>
          <w:szCs w:val="22"/>
        </w:rPr>
      </w:pPr>
      <w:r w:rsidRPr="00DB17C9">
        <w:rPr>
          <w:rFonts w:ascii="Arial" w:eastAsia="source serif 4" w:hAnsi="Arial" w:cs="Arial"/>
          <w:b/>
          <w:color w:val="000000"/>
          <w:sz w:val="22"/>
          <w:szCs w:val="22"/>
        </w:rPr>
        <w:t>Referencia:</w:t>
      </w:r>
      <w:r w:rsidRPr="00DB17C9">
        <w:rPr>
          <w:rFonts w:ascii="Arial" w:eastAsia="source serif 4" w:hAnsi="Arial" w:cs="Arial"/>
          <w:color w:val="000000"/>
          <w:sz w:val="22"/>
          <w:szCs w:val="22"/>
        </w:rPr>
        <w:t xml:space="preserve"> Proceso de Responsabilidad Fiscal No. 2024-145</w:t>
      </w:r>
    </w:p>
    <w:p w14:paraId="72F8F2D8" w14:textId="77777777" w:rsidR="00DB17C9" w:rsidRPr="00DB17C9" w:rsidRDefault="00DB17C9" w:rsidP="00DB17C9">
      <w:pPr>
        <w:spacing w:after="210"/>
        <w:jc w:val="both"/>
        <w:rPr>
          <w:rFonts w:ascii="Arial" w:eastAsia="source serif 4" w:hAnsi="Arial" w:cs="Arial"/>
          <w:color w:val="000000"/>
          <w:sz w:val="22"/>
          <w:szCs w:val="22"/>
        </w:rPr>
      </w:pPr>
      <w:r w:rsidRPr="00DB17C9">
        <w:rPr>
          <w:rFonts w:ascii="Arial" w:eastAsia="source serif 4" w:hAnsi="Arial" w:cs="Arial"/>
          <w:b/>
          <w:color w:val="000000"/>
          <w:sz w:val="22"/>
          <w:szCs w:val="22"/>
        </w:rPr>
        <w:t>Asunto:</w:t>
      </w:r>
      <w:r w:rsidRPr="00DB17C9">
        <w:rPr>
          <w:rFonts w:ascii="Arial" w:eastAsia="source serif 4" w:hAnsi="Arial" w:cs="Arial"/>
          <w:color w:val="000000"/>
          <w:sz w:val="22"/>
          <w:szCs w:val="22"/>
        </w:rPr>
        <w:t xml:space="preserve"> Versión libre </w:t>
      </w:r>
    </w:p>
    <w:p w14:paraId="5389448D" w14:textId="77777777" w:rsidR="00DB17C9" w:rsidRPr="00DB17C9" w:rsidRDefault="00DB17C9" w:rsidP="00DB17C9">
      <w:pPr>
        <w:spacing w:after="210"/>
        <w:jc w:val="both"/>
        <w:rPr>
          <w:rFonts w:ascii="Arial" w:eastAsia="source serif 4" w:hAnsi="Arial" w:cs="Arial"/>
          <w:color w:val="000000"/>
          <w:sz w:val="22"/>
          <w:szCs w:val="22"/>
        </w:rPr>
      </w:pPr>
    </w:p>
    <w:p w14:paraId="5417BE32" w14:textId="77777777" w:rsidR="00DB17C9" w:rsidRPr="00DB17C9" w:rsidRDefault="00DB17C9" w:rsidP="00DB17C9">
      <w:pPr>
        <w:spacing w:after="210"/>
        <w:jc w:val="both"/>
        <w:rPr>
          <w:rFonts w:ascii="Arial" w:eastAsia="source serif 4" w:hAnsi="Arial" w:cs="Arial"/>
          <w:color w:val="000000"/>
          <w:sz w:val="22"/>
          <w:szCs w:val="22"/>
        </w:rPr>
      </w:pPr>
      <w:r w:rsidRPr="00DB17C9">
        <w:rPr>
          <w:rFonts w:ascii="Arial" w:eastAsia="source serif 4" w:hAnsi="Arial" w:cs="Arial"/>
          <w:color w:val="000000"/>
          <w:sz w:val="22"/>
          <w:szCs w:val="22"/>
        </w:rPr>
        <w:t>Cordial Saludo:</w:t>
      </w:r>
    </w:p>
    <w:p w14:paraId="2DE8705D" w14:textId="202B10CE" w:rsidR="00DB17C9" w:rsidRPr="00DB17C9" w:rsidRDefault="00DB17C9" w:rsidP="00DB17C9">
      <w:pPr>
        <w:spacing w:after="210"/>
        <w:jc w:val="both"/>
        <w:rPr>
          <w:rFonts w:ascii="Arial" w:eastAsiaTheme="minorHAnsi" w:hAnsi="Arial" w:cs="Arial"/>
          <w:sz w:val="22"/>
          <w:szCs w:val="22"/>
        </w:rPr>
      </w:pPr>
      <w:r w:rsidRPr="0000349C">
        <w:rPr>
          <w:rFonts w:ascii="Arial" w:eastAsia="source serif 4" w:hAnsi="Arial" w:cs="Arial"/>
          <w:b/>
          <w:bCs/>
          <w:color w:val="000000"/>
          <w:sz w:val="22"/>
          <w:szCs w:val="22"/>
        </w:rPr>
        <w:t>FABIOLA JÁCOME RINCÓN</w:t>
      </w:r>
      <w:r w:rsidRPr="00DB17C9">
        <w:rPr>
          <w:rFonts w:ascii="Arial" w:eastAsia="source serif 4" w:hAnsi="Arial" w:cs="Arial"/>
          <w:color w:val="000000"/>
          <w:sz w:val="22"/>
          <w:szCs w:val="22"/>
        </w:rPr>
        <w:t xml:space="preserve">, mayor de edad, identificada como aparece en el expediente y al pie de mi firma, actuando en mi condición de Alcaldesa Municipal de Cajicá y presidenta de la Junta Directiva de la Empresa de Servicios Públicos de Cajicá S.A. E.S.P., de manera respetuosa me permito rendir versión libre dentro del proceso de la referencia, con el fin de exponer las razones fácticas, técnicas y jurídicas por las cuales no existe responsabilidad fiscal atribuible a mi actuación durante el período 2024 a la fecha. </w:t>
      </w:r>
      <w:bookmarkStart w:id="0" w:name="bm_1_precisiones_sobre_mi_vincula_6544f4"/>
    </w:p>
    <w:p w14:paraId="492B5E5A"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1. Precisiones sobre aspectos temporales y funcional</w:t>
      </w:r>
      <w:bookmarkEnd w:id="0"/>
      <w:r w:rsidRPr="00DB17C9">
        <w:rPr>
          <w:rFonts w:ascii="Arial" w:eastAsia="source serif 4" w:hAnsi="Arial" w:cs="Arial"/>
          <w:b/>
          <w:color w:val="000000"/>
          <w:sz w:val="22"/>
          <w:szCs w:val="22"/>
        </w:rPr>
        <w:t>es en relación con los hechos materia de investigación.</w:t>
      </w:r>
    </w:p>
    <w:p w14:paraId="1FCF6FE0"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Sea procedente aclarar que mi participación institucional frente a los hechos examinados inicia en el período de la actual administración 2024-2027, a partir del 1 de enero de 2024, esto es, en una etapa posterior a la estructuración, planeación, contratación y culminación material del proyecto PATRO, el cual, según el propio auto de apertura, se ejecutó a través de los contratos CC-001-2021, COC-003-2022, COC-004-2022 y COC-003-2023, tomándose incluso como fecha del hecho generador el 27 de diciembre de 2023, correspondiente a la liquidación del último de esos contratos, es claro, en consecuencia, que todas las ejecuciones presupuestales y contractuales estaban consumadas para el momento en que tome posesión como Alcaldesa Municipal y miembro de la Junta Directiva de la EPC Cajicá S.A. E.S.P.. </w:t>
      </w:r>
    </w:p>
    <w:p w14:paraId="74039B4B"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En consecuencia, es claro que no participé en la formulación inicial, estructuración precontractual, definición de diseños, celebración de los contratos, ni en la ejecución material de las obras correspondientes a las vigencias 2021, 2022 y 2023, y mucho menos en sus liquidaciones, y por ende en el recibo material de las obras ejecutadas conforme a los objetos contratados. </w:t>
      </w:r>
    </w:p>
    <w:p w14:paraId="496991EB" w14:textId="77777777" w:rsidR="00DB17C9" w:rsidRPr="00DB17C9" w:rsidRDefault="00DB17C9" w:rsidP="00DB17C9">
      <w:pPr>
        <w:spacing w:after="210"/>
        <w:jc w:val="both"/>
        <w:rPr>
          <w:rFonts w:ascii="Arial" w:eastAsiaTheme="minorHAnsi" w:hAnsi="Arial" w:cs="Arial"/>
          <w:sz w:val="22"/>
          <w:szCs w:val="22"/>
        </w:rPr>
      </w:pPr>
      <w:r w:rsidRPr="00DB17C9">
        <w:rPr>
          <w:rFonts w:ascii="Arial" w:eastAsia="source serif 4" w:hAnsi="Arial" w:cs="Arial"/>
          <w:color w:val="000000"/>
          <w:sz w:val="22"/>
          <w:szCs w:val="22"/>
        </w:rPr>
        <w:lastRenderedPageBreak/>
        <w:t>Mi intervención, como miembro de la actual Junta Directiva, al igual que los demás miembros de la misma y la Gerencia de la Empresa de Servicios Públicos Domiciliarios de Cajicá S.A. E.S.P, recayó sobre un proyecto ya culminado materialmente, respecto del cual surgía el deber funcional de verificar la adecuada inversión de los recursos públicos ya ejecutados, validar su viabilidad jurídica, técnica y operativa, y adoptar las medidas necesarias para asegurar su aprovechamiento efectivo conforme a la finalidad pública para la cual fue construido, aspectos que se describen y explican a continuación.</w:t>
      </w:r>
      <w:bookmarkStart w:id="1" w:name="bm_2_actuación_diligente_de_la_ad_121134"/>
    </w:p>
    <w:p w14:paraId="720FC001"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2. Actuación diligente de la administración actual</w:t>
      </w:r>
      <w:bookmarkEnd w:id="1"/>
    </w:p>
    <w:p w14:paraId="6145EC2F"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Lejos de asumir una actitud omisiva, la administración municipal 2024-2027 desplegó actuaciones concretas de verificación y validación ante la autoridad ambiental competente con el propósito de establecer si el proyecto PATRO y su obra, ubicada dentro del predio de la PTAR Calahorra, se ajustaba a la destinación prevista en el artículo 3 de la Resolución CAR No. 2261 de 2012, si existían alguno conflicto o incompatibilidad jurídica respecto a la destinación parcial y mínima del predio al proyecto, lo anterior, en virtud que existía duda por la administración respecto a la procedencia jurídica de dicha destinación.</w:t>
      </w:r>
    </w:p>
    <w:p w14:paraId="5282B0A6"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En desarrollo de ese deber institucional, el Municipio de Cajicá elevó consulta formal a la CAR para que se pronunciara sobre la procedencia del uso complementario del predio para actividades pedagógicas y de aprovechamiento de residuos orgánicos ligadas al proyecto PATRO, e incluso para que determinara si era necesaria la modificación o adición de la Resolución 2261 de 2012. </w:t>
      </w:r>
    </w:p>
    <w:p w14:paraId="7ABFA785" w14:textId="77777777" w:rsidR="00DB17C9" w:rsidRPr="00DB17C9" w:rsidRDefault="00DB17C9" w:rsidP="00DB17C9">
      <w:pPr>
        <w:spacing w:after="210"/>
        <w:jc w:val="both"/>
        <w:rPr>
          <w:rFonts w:ascii="Arial" w:eastAsiaTheme="minorHAnsi" w:hAnsi="Arial" w:cs="Arial"/>
          <w:sz w:val="22"/>
          <w:szCs w:val="22"/>
        </w:rPr>
      </w:pPr>
      <w:r w:rsidRPr="00DB17C9">
        <w:rPr>
          <w:rFonts w:ascii="Arial" w:eastAsia="source serif 4" w:hAnsi="Arial" w:cs="Arial"/>
          <w:color w:val="000000"/>
          <w:sz w:val="22"/>
          <w:szCs w:val="22"/>
        </w:rPr>
        <w:t xml:space="preserve">Como resultado de esa gestión, la Dirección de Evaluación, Seguimiento y Control Ambiental de la CAR emitió el Informe Técnico DESCA No. 0327 del 20 de mayo de 2025, elaborado a partir de visita técnica al predio, y posteriormente la Secretaría General de la CAR expidió el Oficio No. 20252048891 del 19 de junio de 2025, en el que acogió dicho informe y definió la situación jurídica del proyecto y su procedencia. </w:t>
      </w:r>
      <w:bookmarkStart w:id="2" w:name="bm_3_compatibilidad_jurídica_y_té_49b363"/>
    </w:p>
    <w:p w14:paraId="258A83A4"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3. Compatibilidad jurídica y técnica de la PATRO con la destinación del predio</w:t>
      </w:r>
      <w:bookmarkEnd w:id="2"/>
    </w:p>
    <w:p w14:paraId="4DE8FAD3" w14:textId="77777777" w:rsidR="00DB17C9" w:rsidRPr="00DB17C9" w:rsidRDefault="00DB17C9" w:rsidP="00DB17C9">
      <w:pPr>
        <w:spacing w:after="210"/>
        <w:jc w:val="both"/>
        <w:rPr>
          <w:rFonts w:ascii="Arial" w:eastAsia="source serif 4" w:hAnsi="Arial" w:cs="Arial"/>
          <w:color w:val="000000"/>
          <w:sz w:val="22"/>
          <w:szCs w:val="22"/>
        </w:rPr>
      </w:pPr>
      <w:r w:rsidRPr="00DB17C9">
        <w:rPr>
          <w:rFonts w:ascii="Arial" w:eastAsia="source serif 4" w:hAnsi="Arial" w:cs="Arial"/>
          <w:color w:val="000000"/>
          <w:sz w:val="22"/>
          <w:szCs w:val="22"/>
        </w:rPr>
        <w:t>El actuar diligente de la actual administración de la Empresa de Servicios Públicos de Cajicá S.A. E.S.P. emprendió acciones dirigidas en forma principal a dar claridad en relación con la procedencia jurídica de la ejecución del proyecto en el predio de la PTAR, en atención a las condiciones de la Resolución No. 2261 de 2012, para lo cual de manera clara y precisa elevó consulta ante la autoridad ambiental al respecto.</w:t>
      </w:r>
    </w:p>
    <w:p w14:paraId="7DEB5F18"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La autoridad ambiental, a través del Informe Técnico DESCA No. 0327 concluyó que el proyecto PATRO fue construido en un área libre del predio de la PTAR Calahorra, sin implicar cambio del uso principal del inmueble ni alteración de su especial destinación, precisando además que la PATRO y la infraestructura de tratamiento de aguas residuales proyectada en el Convenio Interadministrativo CAR-CONV-INT-3130-2024 no interfieren entre sí y son técnicamente complementarias.</w:t>
      </w:r>
    </w:p>
    <w:p w14:paraId="49AC11E1"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El mismo informe verificó que el proyecto mantiene compatibilidad con el ordenamiento territorial del municipio, no invade áreas protegidas ni rondas hídricas acotadas relevantes para su operación, no presenta restricciones técnicas de coexistencia con la PTAR, y su escala de aprovechamiento de residuos orgánicos se encuentra muy por debajo de los umbrales previstos para licenciamiento ambiental de plantas mayores. </w:t>
      </w:r>
    </w:p>
    <w:p w14:paraId="6936CFCF"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lastRenderedPageBreak/>
        <w:t xml:space="preserve">De manera concordante, la Secretaría General de la CAR concluyó expresamente que el proyecto PATRO no interfiere funcional ni espacialmente con las actividades propias de la PTAR Calahorra, que es compatible con el ordenamiento territorial y con el régimen legal vigente de los servicios públicos domiciliarios, y que constituye una obra técnica complementaria vinculada al aprovechamiento de residuos sólidos orgánicos como parte del servicio público de aseo. </w:t>
      </w:r>
    </w:p>
    <w:p w14:paraId="76CF27B1" w14:textId="77777777" w:rsidR="00DB17C9" w:rsidRPr="00DB17C9" w:rsidRDefault="00DB17C9" w:rsidP="00DB17C9">
      <w:pPr>
        <w:spacing w:after="210"/>
        <w:jc w:val="both"/>
        <w:rPr>
          <w:rFonts w:ascii="Arial" w:eastAsiaTheme="minorHAnsi" w:hAnsi="Arial" w:cs="Arial"/>
          <w:sz w:val="22"/>
          <w:szCs w:val="22"/>
        </w:rPr>
      </w:pPr>
      <w:r w:rsidRPr="00DB17C9">
        <w:rPr>
          <w:rFonts w:ascii="Arial" w:eastAsia="source serif 4" w:hAnsi="Arial" w:cs="Arial"/>
          <w:color w:val="000000"/>
          <w:sz w:val="22"/>
          <w:szCs w:val="22"/>
        </w:rPr>
        <w:t xml:space="preserve">Por último, la CAR precisó que no era necesario modificar la Resolución No. 2261 de 2012 para permitir la ejecución y operación del proyecto, pues la administración municipal podía desarrollar las obras sin riesgo de contravenir la destinación del predio transferido, justamente porque tales actividades se entienden comprendidas dentro del saneamiento básico. </w:t>
      </w:r>
      <w:bookmarkStart w:id="3" w:name="bm_4_inexistencia_de_daño_patrimonial"/>
    </w:p>
    <w:p w14:paraId="043295EF"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4. Inexistencia de daño patrimonial</w:t>
      </w:r>
      <w:bookmarkEnd w:id="3"/>
    </w:p>
    <w:p w14:paraId="23AEA334"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En el presente caso la autoridad ambiental que expidió la Resolución 2261 de 2012 concluyó que la PATRO es compatible con la destinación del predio, que sus actividades son complementarias al saneamiento básico y que no se requiere modificar el acto de transferencia, en este sentido, se pudo constatar que jurídicamente era viable la destinación del predio por cuanto su finalidad y actividad principal se preserva, ante lo cual, desaparece uno de los supuestos centrales sobre los cuales el auto de apertura pretende estructurar la existencia de un daño patrimonial, esto es, la idea de que los recursos se invirtieron en una obra levantada en un lugar jurídicamente improcedente, lo cual está superado conforme a los informes y documentos emitidos por la autoridad ambiental. </w:t>
      </w:r>
    </w:p>
    <w:p w14:paraId="7DB7D043"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Adicionalmente, el acta de entrega a la Secretaría de Ambiente y Desarrollo Rural de fecha 11 de junio de 2026 demuestra que la infraestructura del proyecto, una vez verificada toda su funcionalidad, existencia de los equipos, buen estado de funcionamiento, etc, conlleva a que hoy en día no es una obra inservible ni abandonada, sino una unidad dotada con equipos y herramientas recibidos por la dependencia encargada de su operación, dentro de los cuales se encuentran el cargador frontal Tytan MT02 y la volteadora Agraris 220, ambos sometidos a prueba y hallados en óptimas condiciones de funcionamiento, con lo cual, la unidad hoy en día es funcional y operativa para desarrollar las actividades para las cuales fue concebida.</w:t>
      </w:r>
    </w:p>
    <w:p w14:paraId="0FBD9A65"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La misma acta registra la entrega de equipos de medición, manuales, fichas técnicas y documentos del convenio, así como la constancia de recibo a satisfacción por parte de los intervinientes, lo que evidencia la incorporación efectiva de la dotación del proyecto a la fase operativa. </w:t>
      </w:r>
    </w:p>
    <w:p w14:paraId="77D8D880" w14:textId="77777777" w:rsidR="00DB17C9" w:rsidRPr="00DB17C9" w:rsidRDefault="00DB17C9" w:rsidP="00DB17C9">
      <w:pPr>
        <w:spacing w:after="210"/>
        <w:jc w:val="both"/>
        <w:rPr>
          <w:rFonts w:ascii="Arial" w:eastAsiaTheme="minorHAnsi" w:hAnsi="Arial" w:cs="Arial"/>
          <w:sz w:val="22"/>
          <w:szCs w:val="22"/>
        </w:rPr>
      </w:pPr>
      <w:r w:rsidRPr="00DB17C9">
        <w:rPr>
          <w:rFonts w:ascii="Arial" w:eastAsia="source serif 4" w:hAnsi="Arial" w:cs="Arial"/>
          <w:color w:val="000000"/>
          <w:sz w:val="22"/>
          <w:szCs w:val="22"/>
        </w:rPr>
        <w:t xml:space="preserve">Por lo anterior, no puede sostenerse válidamente que exista pérdida, menoscabo o detrimento del patrimonio público por el solo hecho de que en un momento anterior la planta no hubiese estado plenamente operativa, cuando hoy existe prueba documental de su funcionalidad, de la entrega institucional para operación y de la utilidad pública de la infraestructura y sus equipos. </w:t>
      </w:r>
      <w:bookmarkStart w:id="4" w:name="bm_5_debida_inversión_de_los_recu_210c97"/>
    </w:p>
    <w:p w14:paraId="54F68F19"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5. Debida validación jurídica de la inversión de los recursos y cumplimiento de los fines públicos</w:t>
      </w:r>
      <w:bookmarkEnd w:id="4"/>
    </w:p>
    <w:p w14:paraId="11DCA1CE"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La información aportada a la CAR muestra que la PATRO fue concebida como una planta aula para el tratamiento y aprovechamiento pedagógico y ambiental de residuos orgánicos, inserta dentro del PGIRS municipal y vinculada a la gestión integral del servicio público de aseo, especialmente a las actividades de aprovechamiento y transformación de residuos </w:t>
      </w:r>
      <w:r w:rsidRPr="00DB17C9">
        <w:rPr>
          <w:rFonts w:ascii="Arial" w:eastAsia="source serif 4" w:hAnsi="Arial" w:cs="Arial"/>
          <w:color w:val="000000"/>
          <w:sz w:val="22"/>
          <w:szCs w:val="22"/>
        </w:rPr>
        <w:lastRenderedPageBreak/>
        <w:t xml:space="preserve">orgánicos biodegradables, que sea del caso mencionar, el municipio y la Empresa de Servicios Públicos como ejecutora es pionera a nivel nacional en la materia. </w:t>
      </w:r>
    </w:p>
    <w:p w14:paraId="583808A4"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El Informe Técnico DESCA recoge igualmente que, dentro de las pruebas piloto del proyecto, se han tratado más de 80 toneladas de residuos de corte de césped y poda mezclados con residuos orgánicos residenciales, produciendo alrededor de 30 toneladas de abono orgánico entregado a productores agropecuarios del municipio y otras 15 toneladas destinadas a fertilización de especies arbóreas en parques y vías públicas. </w:t>
      </w:r>
    </w:p>
    <w:p w14:paraId="78B06D3E" w14:textId="77777777" w:rsidR="00DB17C9" w:rsidRPr="00DB17C9" w:rsidRDefault="00DB17C9" w:rsidP="00DB17C9">
      <w:pPr>
        <w:spacing w:after="210"/>
        <w:jc w:val="both"/>
        <w:rPr>
          <w:rFonts w:ascii="Arial" w:eastAsiaTheme="minorHAnsi" w:hAnsi="Arial" w:cs="Arial"/>
          <w:sz w:val="22"/>
          <w:szCs w:val="22"/>
        </w:rPr>
      </w:pPr>
      <w:r w:rsidRPr="00DB17C9">
        <w:rPr>
          <w:rFonts w:ascii="Arial" w:eastAsia="source serif 4" w:hAnsi="Arial" w:cs="Arial"/>
          <w:color w:val="000000"/>
          <w:sz w:val="22"/>
          <w:szCs w:val="22"/>
        </w:rPr>
        <w:t xml:space="preserve">Estos elementos acreditan que los recursos públicos invertidos conservaron su aptitud para cumplir una finalidad ambiental, pedagógica y de saneamiento básico, en armonía con las competencias municipales y con la función ecológica de los servicios públicos. </w:t>
      </w:r>
      <w:bookmarkStart w:id="5" w:name="bm_6_ausencia_de_conducta_reproch_247d69"/>
    </w:p>
    <w:p w14:paraId="235BD26B"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6. Ausencia de conducta reprochable a mi cargo</w:t>
      </w:r>
      <w:bookmarkEnd w:id="5"/>
    </w:p>
    <w:p w14:paraId="14A4261F"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En mi condición de miembro actual de Junta Directiva (2024-2027) en mi calidad de Alcaldesa Municipal, no me es atribuible conducta dolosa o gravemente culposa en relación con la estructuración original del proyecto ni mucho menos con la celebración o ejecución de los recursos, pues dicha etapa antecedió a mi período de gobierno y se encontraba culminada para finales de 2023, con lo cual, la inversión de los recursos públicos para la fecha de mi posesión y ejercicio del cargo ya estaban totalmente ejecutados.</w:t>
      </w:r>
    </w:p>
    <w:p w14:paraId="78571F2B" w14:textId="77777777"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 xml:space="preserve">Por el contrario, la actuación desplegada durante 2024 y 2025 demuestra un comportamiento diligente, preventivo y orientado a la protección del interés público, dado que la administración actual promovió la revisión técnica y jurídica del proyecto ante la CAR, obtuvo pronunciamientos favorables de compatibilidad, y adelantó acciones para verificar y consolidar su funcionalidad y operación institucional, aspectos esenciales para poder dar inicio a las actividades de la planta. </w:t>
      </w:r>
    </w:p>
    <w:p w14:paraId="41539F65" w14:textId="77777777" w:rsidR="00DB17C9" w:rsidRPr="00DB17C9" w:rsidRDefault="00DB17C9" w:rsidP="00DB17C9">
      <w:pPr>
        <w:spacing w:after="210"/>
        <w:jc w:val="both"/>
        <w:rPr>
          <w:rFonts w:ascii="Arial" w:eastAsia="source serif 4" w:hAnsi="Arial" w:cs="Arial"/>
          <w:color w:val="000000"/>
          <w:sz w:val="22"/>
          <w:szCs w:val="22"/>
        </w:rPr>
      </w:pPr>
      <w:r w:rsidRPr="00DB17C9">
        <w:rPr>
          <w:rFonts w:ascii="Arial" w:eastAsia="source serif 4" w:hAnsi="Arial" w:cs="Arial"/>
          <w:color w:val="000000"/>
          <w:sz w:val="22"/>
          <w:szCs w:val="22"/>
        </w:rPr>
        <w:t xml:space="preserve">Considero de manera respetuosa, que derivar o tratar de establecer o edificar una responsabilidad fiscal sobre el solo hecho de ostentar un cargo actual en la Junta Directiva, no es procedente, en el presente caso, es necesario precisar que de mi parte no existió participación en la planeación ni en la contratación observada, y cuando, además, las actuaciones posteriores se dirigieron precisamente a verificar, corregir, validar y poner en funcionamiento la inversión pública recibida y culminada en diciembre de 2023. </w:t>
      </w:r>
    </w:p>
    <w:p w14:paraId="4016B963" w14:textId="77777777" w:rsidR="00DB17C9" w:rsidRPr="00DB17C9" w:rsidRDefault="00DB17C9" w:rsidP="00DB17C9">
      <w:pPr>
        <w:spacing w:after="210"/>
        <w:jc w:val="both"/>
        <w:rPr>
          <w:rFonts w:ascii="Arial" w:eastAsia="source serif 4" w:hAnsi="Arial" w:cs="Arial"/>
          <w:color w:val="000000"/>
          <w:sz w:val="22"/>
          <w:szCs w:val="22"/>
        </w:rPr>
      </w:pPr>
      <w:r w:rsidRPr="00DB17C9">
        <w:rPr>
          <w:rFonts w:ascii="Arial" w:eastAsia="source serif 4" w:hAnsi="Arial" w:cs="Arial"/>
          <w:color w:val="000000"/>
          <w:sz w:val="22"/>
          <w:szCs w:val="22"/>
        </w:rPr>
        <w:t>En conclusión, mi conducta como miembro de la Junta Directiva, que sea oportuno indicar no ejerce funciones como ordenadora del gasto, pro cuanto las funciones en materia presupuesta se limitan a la aprobación del presupuestos conforme a las normas que rigen la materia, pero no los ejecuta, en este sentido, en ejercicio de nuestras funciones y deberes legales y estatutarios, procedió a verificar la adecuada inversión de los recursos públicos, para lo cual se adelantaron las claridades y precisiones jurídicas que dan cuenta la información y documentación adjunta, una vez superada dicha situación, se procedió a evaluar las condiciones operativas y funcionales de la planta, de forma tal que preste el servicio para lo cual se efectúo la inversión de los recursos por parte de la EPC como ejecutora de los recursos, es así como a la fecha no existe ni se configura la existencia daño patrimonial ni detrimento a los recursos públicos, porque la inversión ejecutada en la infraestructura y dotación de la PATRO conserva utilidad pública, mantiene compatibilidad jurídica  y técnica con la destinación del predio de la PTAR Calahorra, y actualmente se encuentra funcional y operativa dentro de la finalidad para la cual fue construida, con operación a cargo de la Secretaría de Ambiente y Desarrollo Rural del Municipio de Cajicá.</w:t>
      </w:r>
    </w:p>
    <w:p w14:paraId="42D2E0AF" w14:textId="77777777" w:rsidR="00DB17C9" w:rsidRPr="00DB17C9" w:rsidRDefault="00DB17C9" w:rsidP="00DB17C9">
      <w:pPr>
        <w:spacing w:before="315" w:after="105"/>
        <w:ind w:left="-30"/>
        <w:jc w:val="both"/>
        <w:rPr>
          <w:rFonts w:ascii="Arial" w:eastAsia="source serif 4" w:hAnsi="Arial" w:cs="Arial"/>
          <w:b/>
          <w:color w:val="000000"/>
          <w:sz w:val="22"/>
          <w:szCs w:val="22"/>
        </w:rPr>
      </w:pPr>
      <w:bookmarkStart w:id="6" w:name="bm_7_solicitud"/>
      <w:r w:rsidRPr="00DB17C9">
        <w:rPr>
          <w:rFonts w:ascii="Arial" w:eastAsia="source serif 4" w:hAnsi="Arial" w:cs="Arial"/>
          <w:b/>
          <w:color w:val="000000"/>
          <w:sz w:val="22"/>
          <w:szCs w:val="22"/>
        </w:rPr>
        <w:lastRenderedPageBreak/>
        <w:t>7.  Pruebas</w:t>
      </w:r>
    </w:p>
    <w:p w14:paraId="2F026B9F" w14:textId="77777777" w:rsidR="00DB17C9" w:rsidRPr="00DB17C9" w:rsidRDefault="00DB17C9" w:rsidP="00DB17C9">
      <w:pPr>
        <w:spacing w:before="315" w:after="105"/>
        <w:ind w:left="-30"/>
        <w:jc w:val="both"/>
        <w:rPr>
          <w:rFonts w:ascii="Arial" w:eastAsia="source serif 4" w:hAnsi="Arial" w:cs="Arial"/>
          <w:bCs/>
          <w:color w:val="000000"/>
          <w:sz w:val="22"/>
          <w:szCs w:val="22"/>
        </w:rPr>
      </w:pPr>
      <w:r w:rsidRPr="00DB17C9">
        <w:rPr>
          <w:rFonts w:ascii="Arial" w:eastAsia="source serif 4" w:hAnsi="Arial" w:cs="Arial"/>
          <w:bCs/>
          <w:color w:val="000000"/>
          <w:sz w:val="22"/>
          <w:szCs w:val="22"/>
        </w:rPr>
        <w:t xml:space="preserve">Allego para que sean tenidos como pruebas de lo acá manifestado los siguientes documentos: </w:t>
      </w:r>
    </w:p>
    <w:p w14:paraId="0AE788A2" w14:textId="77777777" w:rsidR="00DB17C9" w:rsidRPr="00DB17C9" w:rsidRDefault="00DB17C9" w:rsidP="00DB17C9">
      <w:pPr>
        <w:spacing w:before="315" w:after="105"/>
        <w:ind w:left="-30"/>
        <w:jc w:val="both"/>
        <w:rPr>
          <w:rFonts w:ascii="Arial" w:eastAsia="source serif 4" w:hAnsi="Arial" w:cs="Arial"/>
          <w:bCs/>
          <w:color w:val="000000"/>
          <w:sz w:val="22"/>
          <w:szCs w:val="22"/>
        </w:rPr>
      </w:pPr>
      <w:r w:rsidRPr="00DB17C9">
        <w:rPr>
          <w:rFonts w:ascii="Arial" w:eastAsia="source serif 4" w:hAnsi="Arial" w:cs="Arial"/>
          <w:bCs/>
          <w:color w:val="000000"/>
          <w:sz w:val="22"/>
          <w:szCs w:val="22"/>
        </w:rPr>
        <w:t>1. Informe Técnico DESCA No 0327 de 20 MAY. 2025 - CONCEPTO TÉCNICO- Proyecto “Planta Aula de Tratamiento de Residuos Orgánicos– PATRO”; al interior del predio de la PTAR Calahorra en el marco de lo establecido en la Resolución CAR No. 2261 del 21 de septiembre de 2012</w:t>
      </w:r>
    </w:p>
    <w:p w14:paraId="6F716878" w14:textId="77777777" w:rsidR="00DB17C9" w:rsidRPr="00DB17C9" w:rsidRDefault="00DB17C9" w:rsidP="00DB17C9">
      <w:pPr>
        <w:spacing w:before="315" w:after="105"/>
        <w:ind w:left="-30"/>
        <w:jc w:val="both"/>
        <w:rPr>
          <w:rFonts w:ascii="Arial" w:eastAsia="source serif 4" w:hAnsi="Arial" w:cs="Arial"/>
          <w:bCs/>
          <w:color w:val="000000"/>
          <w:sz w:val="22"/>
          <w:szCs w:val="22"/>
        </w:rPr>
      </w:pPr>
      <w:r w:rsidRPr="00DB17C9">
        <w:rPr>
          <w:rFonts w:ascii="Arial" w:eastAsia="source serif 4" w:hAnsi="Arial" w:cs="Arial"/>
          <w:bCs/>
          <w:color w:val="000000"/>
          <w:sz w:val="22"/>
          <w:szCs w:val="22"/>
        </w:rPr>
        <w:t>2. Oficio CAR No. 20252048891 del 19/06/2025 Respuesta al radicado 20251040960: Derecho de Petición consulta Resolución CAR No. 2261-2012</w:t>
      </w:r>
    </w:p>
    <w:p w14:paraId="6CC1B795" w14:textId="77777777" w:rsidR="00DB17C9" w:rsidRPr="00DB17C9" w:rsidRDefault="00DB17C9" w:rsidP="00DB17C9">
      <w:pPr>
        <w:spacing w:before="315" w:after="105"/>
        <w:ind w:left="-30"/>
        <w:jc w:val="both"/>
        <w:rPr>
          <w:rFonts w:ascii="Arial" w:eastAsia="source serif 4" w:hAnsi="Arial" w:cs="Arial"/>
          <w:bCs/>
          <w:color w:val="000000"/>
          <w:sz w:val="22"/>
          <w:szCs w:val="22"/>
        </w:rPr>
      </w:pPr>
      <w:r w:rsidRPr="00DB17C9">
        <w:rPr>
          <w:rFonts w:ascii="Arial" w:eastAsia="source serif 4" w:hAnsi="Arial" w:cs="Arial"/>
          <w:bCs/>
          <w:color w:val="000000"/>
          <w:sz w:val="22"/>
          <w:szCs w:val="22"/>
        </w:rPr>
        <w:t>3. Acta de Entrega Proyecto PATRO a la Secretaría de Ambiente y Desarrollo Rural del Municipio.</w:t>
      </w:r>
    </w:p>
    <w:p w14:paraId="5EACAFDC" w14:textId="77777777" w:rsidR="00DB17C9" w:rsidRPr="00DB17C9" w:rsidRDefault="00DB17C9" w:rsidP="00DB17C9">
      <w:pPr>
        <w:spacing w:before="315" w:after="105"/>
        <w:ind w:left="-30"/>
        <w:jc w:val="both"/>
        <w:rPr>
          <w:rFonts w:ascii="Arial" w:hAnsi="Arial" w:cs="Arial"/>
          <w:sz w:val="22"/>
          <w:szCs w:val="22"/>
        </w:rPr>
      </w:pPr>
      <w:r w:rsidRPr="00DB17C9">
        <w:rPr>
          <w:rFonts w:ascii="Arial" w:eastAsia="source serif 4" w:hAnsi="Arial" w:cs="Arial"/>
          <w:b/>
          <w:color w:val="000000"/>
          <w:sz w:val="22"/>
          <w:szCs w:val="22"/>
        </w:rPr>
        <w:t>8.Solicitud</w:t>
      </w:r>
      <w:bookmarkEnd w:id="6"/>
    </w:p>
    <w:p w14:paraId="1CC2774F" w14:textId="2F306C34" w:rsidR="00DB17C9" w:rsidRPr="00DB17C9" w:rsidRDefault="00DB17C9" w:rsidP="00DB17C9">
      <w:pPr>
        <w:spacing w:after="210"/>
        <w:jc w:val="both"/>
        <w:rPr>
          <w:rFonts w:ascii="Arial" w:hAnsi="Arial" w:cs="Arial"/>
          <w:sz w:val="22"/>
          <w:szCs w:val="22"/>
        </w:rPr>
      </w:pPr>
      <w:r w:rsidRPr="00DB17C9">
        <w:rPr>
          <w:rFonts w:ascii="Arial" w:eastAsia="source serif 4" w:hAnsi="Arial" w:cs="Arial"/>
          <w:color w:val="000000"/>
          <w:sz w:val="22"/>
          <w:szCs w:val="22"/>
        </w:rPr>
        <w:t>Con fundamento en lo expuesto, solicito que mi versión libre sea valorada integralmente junto con el Oficio CAR No. 20252048891, el Informe Técnico DESCA No. 0327 de 2025 y el acta de entrega a la Secretaría de Ambiente y Desarrollo Rural de 11 de junio de 2026, para concluir que no existe daño patrimonial, que la destinación del predio no ha sido contrariada, que la PATRO es funcional y operativa conforme a su finalidad, y que no existe conducta fiscalmente reprochable atribuible a mi gestión durante el período 2024 a la fecha.</w:t>
      </w:r>
    </w:p>
    <w:p w14:paraId="763312C9" w14:textId="206499F0" w:rsidR="00C13519" w:rsidRPr="00DB17C9" w:rsidRDefault="00C13519" w:rsidP="00DB17C9">
      <w:pPr>
        <w:jc w:val="both"/>
        <w:rPr>
          <w:rFonts w:ascii="Arial" w:eastAsia="Times New Roman" w:hAnsi="Arial" w:cs="Arial"/>
          <w:sz w:val="22"/>
          <w:szCs w:val="22"/>
          <w:lang w:eastAsia="es-ES_tradnl"/>
        </w:rPr>
      </w:pPr>
    </w:p>
    <w:p w14:paraId="02F94B58" w14:textId="65FAD8DA" w:rsidR="00CC1EAD" w:rsidRPr="00DB17C9" w:rsidRDefault="00C13519" w:rsidP="00DB17C9">
      <w:pPr>
        <w:jc w:val="both"/>
        <w:rPr>
          <w:rFonts w:ascii="Arial" w:eastAsia="Times New Roman" w:hAnsi="Arial" w:cs="Arial"/>
          <w:sz w:val="22"/>
          <w:szCs w:val="22"/>
          <w:lang w:eastAsia="es-ES_tradnl"/>
        </w:rPr>
      </w:pPr>
      <w:r w:rsidRPr="00DB17C9">
        <w:rPr>
          <w:rFonts w:ascii="Arial" w:eastAsia="Times New Roman" w:hAnsi="Arial" w:cs="Arial"/>
          <w:sz w:val="22"/>
          <w:szCs w:val="22"/>
          <w:lang w:eastAsia="es-ES_tradnl"/>
        </w:rPr>
        <w:t>Atentamente,</w:t>
      </w:r>
    </w:p>
    <w:p w14:paraId="108826D8" w14:textId="77777777" w:rsidR="0068447E" w:rsidRPr="00DB17C9" w:rsidRDefault="0068447E" w:rsidP="00DB17C9">
      <w:pPr>
        <w:pStyle w:val="Sinespaciado"/>
        <w:jc w:val="center"/>
        <w:rPr>
          <w:rFonts w:cs="Arial"/>
          <w:b/>
          <w:sz w:val="22"/>
          <w:szCs w:val="22"/>
        </w:rPr>
      </w:pPr>
    </w:p>
    <w:p w14:paraId="04FB8DBA" w14:textId="77777777" w:rsidR="0068447E" w:rsidRPr="00DB17C9" w:rsidRDefault="0068447E" w:rsidP="00DB17C9">
      <w:pPr>
        <w:pStyle w:val="Sinespaciado"/>
        <w:jc w:val="center"/>
        <w:rPr>
          <w:rFonts w:cs="Arial"/>
          <w:b/>
          <w:sz w:val="22"/>
          <w:szCs w:val="22"/>
        </w:rPr>
      </w:pPr>
    </w:p>
    <w:p w14:paraId="5204FC5C" w14:textId="77777777" w:rsidR="0068447E" w:rsidRPr="00DB17C9" w:rsidRDefault="0068447E" w:rsidP="00DB17C9">
      <w:pPr>
        <w:pStyle w:val="Sinespaciado"/>
        <w:jc w:val="center"/>
        <w:rPr>
          <w:rFonts w:cs="Arial"/>
          <w:b/>
          <w:sz w:val="22"/>
          <w:szCs w:val="22"/>
        </w:rPr>
      </w:pPr>
    </w:p>
    <w:p w14:paraId="5500F7DF" w14:textId="178B9AF0" w:rsidR="0068447E" w:rsidRPr="00DB17C9" w:rsidRDefault="0068447E" w:rsidP="00DB17C9">
      <w:pPr>
        <w:pStyle w:val="Sinespaciado"/>
        <w:rPr>
          <w:rFonts w:cs="Arial"/>
          <w:b/>
          <w:sz w:val="22"/>
          <w:szCs w:val="22"/>
        </w:rPr>
      </w:pPr>
    </w:p>
    <w:p w14:paraId="61C3B4CA" w14:textId="77777777" w:rsidR="00F90CAC" w:rsidRPr="00DB17C9" w:rsidRDefault="00F90CAC" w:rsidP="00DB17C9">
      <w:pPr>
        <w:pStyle w:val="Sinespaciado"/>
        <w:jc w:val="center"/>
        <w:rPr>
          <w:rFonts w:cs="Arial"/>
          <w:b/>
          <w:sz w:val="22"/>
          <w:szCs w:val="22"/>
        </w:rPr>
      </w:pPr>
    </w:p>
    <w:p w14:paraId="60834E57" w14:textId="5E3C93DA" w:rsidR="0068447E" w:rsidRPr="00DB17C9" w:rsidRDefault="0068447E" w:rsidP="00DB17C9">
      <w:pPr>
        <w:pStyle w:val="Sinespaciado"/>
        <w:jc w:val="center"/>
        <w:rPr>
          <w:rFonts w:cs="Arial"/>
          <w:b/>
          <w:sz w:val="22"/>
          <w:szCs w:val="22"/>
        </w:rPr>
      </w:pPr>
      <w:r w:rsidRPr="00DB17C9">
        <w:rPr>
          <w:rFonts w:cs="Arial"/>
          <w:b/>
          <w:sz w:val="22"/>
          <w:szCs w:val="22"/>
        </w:rPr>
        <w:t>FABIOLA JÁCOME RINCÓN</w:t>
      </w:r>
    </w:p>
    <w:p w14:paraId="28615253" w14:textId="77777777" w:rsidR="0068447E" w:rsidRPr="00DB17C9" w:rsidRDefault="0068447E" w:rsidP="00DB17C9">
      <w:pPr>
        <w:pStyle w:val="Sinespaciado"/>
        <w:jc w:val="center"/>
        <w:rPr>
          <w:rFonts w:cs="Arial"/>
          <w:b/>
          <w:sz w:val="22"/>
          <w:szCs w:val="22"/>
        </w:rPr>
      </w:pPr>
      <w:r w:rsidRPr="00DB17C9">
        <w:rPr>
          <w:rFonts w:cs="Arial"/>
          <w:b/>
          <w:sz w:val="22"/>
          <w:szCs w:val="22"/>
        </w:rPr>
        <w:t>ALCALDESA MUNICIPAL</w:t>
      </w:r>
    </w:p>
    <w:p w14:paraId="389FF127" w14:textId="5596EFD3" w:rsidR="0068447E" w:rsidRDefault="0068447E" w:rsidP="0068447E">
      <w:pPr>
        <w:pStyle w:val="Sinespaciado"/>
        <w:rPr>
          <w:rFonts w:cs="Arial"/>
          <w:b/>
          <w:sz w:val="20"/>
          <w:szCs w:val="20"/>
        </w:rPr>
      </w:pPr>
    </w:p>
    <w:p w14:paraId="1A7B5C94" w14:textId="2BFB8DCA" w:rsidR="0098740F" w:rsidRDefault="0098740F" w:rsidP="0068447E">
      <w:pPr>
        <w:pStyle w:val="Sinespaciado"/>
        <w:rPr>
          <w:rFonts w:cs="Arial"/>
          <w:b/>
          <w:sz w:val="20"/>
          <w:szCs w:val="20"/>
        </w:rPr>
      </w:pPr>
    </w:p>
    <w:p w14:paraId="6C7B4124" w14:textId="77777777" w:rsidR="00F90CAC" w:rsidRDefault="00F90CAC" w:rsidP="0068447E">
      <w:pPr>
        <w:pStyle w:val="Sinespaciado"/>
        <w:rPr>
          <w:rFonts w:cs="Arial"/>
          <w:b/>
          <w:sz w:val="20"/>
          <w:szCs w:val="20"/>
        </w:rPr>
      </w:pPr>
    </w:p>
    <w:p w14:paraId="271727E0" w14:textId="77777777" w:rsidR="0098740F" w:rsidRDefault="0098740F" w:rsidP="0068447E">
      <w:pPr>
        <w:pStyle w:val="Sinespaciado"/>
        <w:rPr>
          <w:rFonts w:cs="Arial"/>
          <w:b/>
          <w:sz w:val="20"/>
          <w:szCs w:val="20"/>
        </w:rPr>
      </w:pPr>
    </w:p>
    <w:p w14:paraId="6AF32514" w14:textId="77777777" w:rsidR="0068447E" w:rsidRDefault="0068447E" w:rsidP="0068447E">
      <w:pPr>
        <w:pStyle w:val="Sinespaciado"/>
        <w:rPr>
          <w:rFonts w:cs="Arial"/>
          <w:b/>
          <w:sz w:val="20"/>
          <w:szCs w:val="20"/>
        </w:rPr>
      </w:pPr>
    </w:p>
    <w:p w14:paraId="2B74DA8C" w14:textId="34B00A2E" w:rsidR="00405845" w:rsidRPr="007F25E8" w:rsidRDefault="00405845" w:rsidP="0068447E">
      <w:pPr>
        <w:pStyle w:val="Textoindependiente"/>
        <w:jc w:val="center"/>
        <w:rPr>
          <w:b/>
          <w:sz w:val="10"/>
          <w:szCs w:val="10"/>
        </w:rPr>
      </w:pPr>
    </w:p>
    <w:sectPr w:rsidR="00405845" w:rsidRPr="007F25E8" w:rsidSect="0000349C">
      <w:headerReference w:type="even" r:id="rId8"/>
      <w:headerReference w:type="default" r:id="rId9"/>
      <w:footerReference w:type="default" r:id="rId10"/>
      <w:headerReference w:type="first" r:id="rId11"/>
      <w:pgSz w:w="11906" w:h="16838" w:code="9"/>
      <w:pgMar w:top="1418" w:right="1418" w:bottom="2073" w:left="1418" w:header="709"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998DF" w14:textId="77777777" w:rsidR="00964521" w:rsidRDefault="00964521">
      <w:r>
        <w:separator/>
      </w:r>
    </w:p>
  </w:endnote>
  <w:endnote w:type="continuationSeparator" w:id="0">
    <w:p w14:paraId="6547A920" w14:textId="77777777" w:rsidR="00964521" w:rsidRDefault="0096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ource serif 4">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C73CF" w14:textId="77777777" w:rsidR="005C46B7" w:rsidRDefault="00EF77CB" w:rsidP="007F25E8">
    <w:pPr>
      <w:pBdr>
        <w:top w:val="nil"/>
        <w:left w:val="nil"/>
        <w:bottom w:val="nil"/>
        <w:right w:val="nil"/>
        <w:between w:val="nil"/>
      </w:pBdr>
      <w:tabs>
        <w:tab w:val="center" w:pos="4419"/>
        <w:tab w:val="right" w:pos="8838"/>
      </w:tabs>
      <w:ind w:left="-1701"/>
      <w:rPr>
        <w:color w:val="000000"/>
      </w:rPr>
    </w:pPr>
    <w:r>
      <w:rPr>
        <w:noProof/>
        <w:color w:val="000000"/>
      </w:rPr>
      <w:drawing>
        <wp:inline distT="0" distB="0" distL="0" distR="0" wp14:anchorId="43A1F1EE" wp14:editId="36CB0D54">
          <wp:extent cx="7902300" cy="111045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2409" r="-2409"/>
                  <a:stretch>
                    <a:fillRect/>
                  </a:stretch>
                </pic:blipFill>
                <pic:spPr>
                  <a:xfrm>
                    <a:off x="0" y="0"/>
                    <a:ext cx="7902300" cy="1110453"/>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6F79D" w14:textId="77777777" w:rsidR="00964521" w:rsidRDefault="00964521">
      <w:r>
        <w:separator/>
      </w:r>
    </w:p>
  </w:footnote>
  <w:footnote w:type="continuationSeparator" w:id="0">
    <w:p w14:paraId="14A855BC" w14:textId="77777777" w:rsidR="00964521" w:rsidRDefault="0096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86BC" w14:textId="77777777" w:rsidR="005C46B7" w:rsidRDefault="00964521">
    <w:pPr>
      <w:pBdr>
        <w:top w:val="nil"/>
        <w:left w:val="nil"/>
        <w:bottom w:val="nil"/>
        <w:right w:val="nil"/>
        <w:between w:val="nil"/>
      </w:pBdr>
      <w:tabs>
        <w:tab w:val="center" w:pos="4419"/>
        <w:tab w:val="right" w:pos="8838"/>
      </w:tabs>
      <w:rPr>
        <w:color w:val="000000"/>
      </w:rPr>
    </w:pPr>
    <w:r>
      <w:rPr>
        <w:color w:val="000000"/>
      </w:rPr>
      <w:pict w14:anchorId="31735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7" type="#_x0000_t75" alt="" style="position:absolute;margin-left:0;margin-top:0;width:638.25pt;height:350.5pt;z-index:-251657728;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42174" w14:textId="0A2DB6DD" w:rsidR="005C46B7" w:rsidRDefault="00964521">
    <w:pPr>
      <w:pBdr>
        <w:top w:val="nil"/>
        <w:left w:val="nil"/>
        <w:bottom w:val="nil"/>
        <w:right w:val="nil"/>
        <w:between w:val="nil"/>
      </w:pBdr>
      <w:tabs>
        <w:tab w:val="center" w:pos="4419"/>
        <w:tab w:val="right" w:pos="8838"/>
      </w:tabs>
      <w:ind w:left="-284" w:firstLine="284"/>
      <w:rPr>
        <w:color w:val="000000"/>
      </w:rPr>
    </w:pPr>
    <w:r>
      <w:rPr>
        <w:color w:val="000000"/>
      </w:rPr>
      <w:pict w14:anchorId="2CE4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alt="" style="position:absolute;left:0;text-align:left;margin-left:0;margin-top:0;width:638.25pt;height:350.5pt;z-index:-251659776;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r w:rsidR="0068447E">
      <w:rPr>
        <w:noProof/>
      </w:rPr>
      <w:drawing>
        <wp:inline distT="0" distB="0" distL="0" distR="0" wp14:anchorId="16CD051E" wp14:editId="2A5A66E3">
          <wp:extent cx="6076950" cy="80391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2"/>
                  <a:srcRect/>
                  <a:stretch>
                    <a:fillRect/>
                  </a:stretch>
                </pic:blipFill>
                <pic:spPr>
                  <a:xfrm>
                    <a:off x="0" y="0"/>
                    <a:ext cx="6076950" cy="803910"/>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BE7BB" w14:textId="77777777" w:rsidR="005C46B7" w:rsidRDefault="00964521">
    <w:pPr>
      <w:pBdr>
        <w:top w:val="nil"/>
        <w:left w:val="nil"/>
        <w:bottom w:val="nil"/>
        <w:right w:val="nil"/>
        <w:between w:val="nil"/>
      </w:pBdr>
      <w:tabs>
        <w:tab w:val="center" w:pos="4419"/>
        <w:tab w:val="right" w:pos="8838"/>
      </w:tabs>
      <w:rPr>
        <w:color w:val="000000"/>
      </w:rPr>
    </w:pPr>
    <w:r>
      <w:rPr>
        <w:color w:val="000000"/>
      </w:rPr>
      <w:pict w14:anchorId="39FFC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638.25pt;height:350.5pt;z-index:-251658752;mso-wrap-edited:f;mso-width-percent:0;mso-height-percent:0;mso-position-horizontal:center;mso-position-horizontal-relative:margin;mso-position-vertical:center;mso-position-vertical-relative:margin;mso-width-percent:0;mso-height-percent:0">
          <v:imagedata r:id="rId1" o:title="image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038B"/>
    <w:multiLevelType w:val="hybridMultilevel"/>
    <w:tmpl w:val="0A6AE776"/>
    <w:lvl w:ilvl="0" w:tplc="3E409218">
      <w:start w:val="1"/>
      <w:numFmt w:val="lowerLetter"/>
      <w:lvlText w:val="%1)"/>
      <w:lvlJc w:val="left"/>
      <w:pPr>
        <w:ind w:left="720" w:hanging="360"/>
      </w:pPr>
      <w:rPr>
        <w:rFonts w:ascii="Arial" w:eastAsia="Times New Roman" w:hAnsi="Arial" w:cs="Arial"/>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1C5EC8"/>
    <w:multiLevelType w:val="hybridMultilevel"/>
    <w:tmpl w:val="DF183A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8F7E11"/>
    <w:multiLevelType w:val="hybridMultilevel"/>
    <w:tmpl w:val="D6F04BC4"/>
    <w:lvl w:ilvl="0" w:tplc="9278A426">
      <w:start w:val="1"/>
      <w:numFmt w:val="decimal"/>
      <w:lvlText w:val="%1."/>
      <w:lvlJc w:val="left"/>
      <w:pPr>
        <w:ind w:left="757" w:hanging="360"/>
      </w:pPr>
      <w:rPr>
        <w:rFonts w:hint="default"/>
      </w:rPr>
    </w:lvl>
    <w:lvl w:ilvl="1" w:tplc="240A0019" w:tentative="1">
      <w:start w:val="1"/>
      <w:numFmt w:val="lowerLetter"/>
      <w:lvlText w:val="%2."/>
      <w:lvlJc w:val="left"/>
      <w:pPr>
        <w:ind w:left="1477" w:hanging="360"/>
      </w:pPr>
    </w:lvl>
    <w:lvl w:ilvl="2" w:tplc="240A001B" w:tentative="1">
      <w:start w:val="1"/>
      <w:numFmt w:val="lowerRoman"/>
      <w:lvlText w:val="%3."/>
      <w:lvlJc w:val="right"/>
      <w:pPr>
        <w:ind w:left="2197" w:hanging="180"/>
      </w:pPr>
    </w:lvl>
    <w:lvl w:ilvl="3" w:tplc="240A000F" w:tentative="1">
      <w:start w:val="1"/>
      <w:numFmt w:val="decimal"/>
      <w:lvlText w:val="%4."/>
      <w:lvlJc w:val="left"/>
      <w:pPr>
        <w:ind w:left="2917" w:hanging="360"/>
      </w:pPr>
    </w:lvl>
    <w:lvl w:ilvl="4" w:tplc="240A0019" w:tentative="1">
      <w:start w:val="1"/>
      <w:numFmt w:val="lowerLetter"/>
      <w:lvlText w:val="%5."/>
      <w:lvlJc w:val="left"/>
      <w:pPr>
        <w:ind w:left="3637" w:hanging="360"/>
      </w:pPr>
    </w:lvl>
    <w:lvl w:ilvl="5" w:tplc="240A001B" w:tentative="1">
      <w:start w:val="1"/>
      <w:numFmt w:val="lowerRoman"/>
      <w:lvlText w:val="%6."/>
      <w:lvlJc w:val="right"/>
      <w:pPr>
        <w:ind w:left="4357" w:hanging="180"/>
      </w:pPr>
    </w:lvl>
    <w:lvl w:ilvl="6" w:tplc="240A000F" w:tentative="1">
      <w:start w:val="1"/>
      <w:numFmt w:val="decimal"/>
      <w:lvlText w:val="%7."/>
      <w:lvlJc w:val="left"/>
      <w:pPr>
        <w:ind w:left="5077" w:hanging="360"/>
      </w:pPr>
    </w:lvl>
    <w:lvl w:ilvl="7" w:tplc="240A0019" w:tentative="1">
      <w:start w:val="1"/>
      <w:numFmt w:val="lowerLetter"/>
      <w:lvlText w:val="%8."/>
      <w:lvlJc w:val="left"/>
      <w:pPr>
        <w:ind w:left="5797" w:hanging="360"/>
      </w:pPr>
    </w:lvl>
    <w:lvl w:ilvl="8" w:tplc="240A001B" w:tentative="1">
      <w:start w:val="1"/>
      <w:numFmt w:val="lowerRoman"/>
      <w:lvlText w:val="%9."/>
      <w:lvlJc w:val="right"/>
      <w:pPr>
        <w:ind w:left="6517" w:hanging="180"/>
      </w:pPr>
    </w:lvl>
  </w:abstractNum>
  <w:abstractNum w:abstractNumId="3" w15:restartNumberingAfterBreak="0">
    <w:nsid w:val="272161D8"/>
    <w:multiLevelType w:val="hybridMultilevel"/>
    <w:tmpl w:val="6FAEE96E"/>
    <w:lvl w:ilvl="0" w:tplc="A7D2CC2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20F75ED"/>
    <w:multiLevelType w:val="hybridMultilevel"/>
    <w:tmpl w:val="3288E28C"/>
    <w:lvl w:ilvl="0" w:tplc="B5089C8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581611"/>
    <w:multiLevelType w:val="hybridMultilevel"/>
    <w:tmpl w:val="9EE061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7FD71BF"/>
    <w:multiLevelType w:val="hybridMultilevel"/>
    <w:tmpl w:val="F0DA69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6E7212E"/>
    <w:multiLevelType w:val="hybridMultilevel"/>
    <w:tmpl w:val="DFB848E6"/>
    <w:lvl w:ilvl="0" w:tplc="0A049742">
      <w:start w:val="1"/>
      <w:numFmt w:val="decimal"/>
      <w:lvlText w:val="%1."/>
      <w:lvlJc w:val="left"/>
      <w:pPr>
        <w:ind w:left="750" w:hanging="390"/>
      </w:pPr>
      <w:rPr>
        <w:rFonts w:hint="default"/>
        <w:i w:val="0"/>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E023627"/>
    <w:multiLevelType w:val="hybridMultilevel"/>
    <w:tmpl w:val="8B06DE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027146D"/>
    <w:multiLevelType w:val="hybridMultilevel"/>
    <w:tmpl w:val="7AD4A7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16F7A40"/>
    <w:multiLevelType w:val="hybridMultilevel"/>
    <w:tmpl w:val="6B840A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7A2D602F"/>
    <w:multiLevelType w:val="hybridMultilevel"/>
    <w:tmpl w:val="CCE61E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65222917">
    <w:abstractNumId w:val="7"/>
  </w:num>
  <w:num w:numId="2" w16cid:durableId="841508832">
    <w:abstractNumId w:val="4"/>
  </w:num>
  <w:num w:numId="3" w16cid:durableId="281348661">
    <w:abstractNumId w:val="3"/>
  </w:num>
  <w:num w:numId="4" w16cid:durableId="653337077">
    <w:abstractNumId w:val="11"/>
  </w:num>
  <w:num w:numId="5" w16cid:durableId="1463844608">
    <w:abstractNumId w:val="5"/>
  </w:num>
  <w:num w:numId="6" w16cid:durableId="911354425">
    <w:abstractNumId w:val="0"/>
  </w:num>
  <w:num w:numId="7" w16cid:durableId="689524474">
    <w:abstractNumId w:val="9"/>
  </w:num>
  <w:num w:numId="8" w16cid:durableId="1723477083">
    <w:abstractNumId w:val="8"/>
  </w:num>
  <w:num w:numId="9" w16cid:durableId="1817529770">
    <w:abstractNumId w:val="10"/>
  </w:num>
  <w:num w:numId="10" w16cid:durableId="197742742">
    <w:abstractNumId w:val="1"/>
  </w:num>
  <w:num w:numId="11" w16cid:durableId="1095443201">
    <w:abstractNumId w:val="8"/>
  </w:num>
  <w:num w:numId="12" w16cid:durableId="1172716814">
    <w:abstractNumId w:val="6"/>
  </w:num>
  <w:num w:numId="13" w16cid:durableId="18640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4495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6B7"/>
    <w:rsid w:val="00002AA7"/>
    <w:rsid w:val="0000349C"/>
    <w:rsid w:val="00015799"/>
    <w:rsid w:val="00017802"/>
    <w:rsid w:val="00021404"/>
    <w:rsid w:val="00021A77"/>
    <w:rsid w:val="00032EE5"/>
    <w:rsid w:val="000338A8"/>
    <w:rsid w:val="0006651D"/>
    <w:rsid w:val="000776E4"/>
    <w:rsid w:val="00087C63"/>
    <w:rsid w:val="000A49DD"/>
    <w:rsid w:val="000A7EEE"/>
    <w:rsid w:val="000B0B2B"/>
    <w:rsid w:val="000C7480"/>
    <w:rsid w:val="000C7D45"/>
    <w:rsid w:val="000D0B81"/>
    <w:rsid w:val="000E615A"/>
    <w:rsid w:val="000F7255"/>
    <w:rsid w:val="0011072C"/>
    <w:rsid w:val="00114CE6"/>
    <w:rsid w:val="00125F74"/>
    <w:rsid w:val="001260E4"/>
    <w:rsid w:val="00131AE6"/>
    <w:rsid w:val="00146C64"/>
    <w:rsid w:val="00154DF1"/>
    <w:rsid w:val="0016362C"/>
    <w:rsid w:val="0016496B"/>
    <w:rsid w:val="001813A4"/>
    <w:rsid w:val="00184154"/>
    <w:rsid w:val="00187F48"/>
    <w:rsid w:val="001957C5"/>
    <w:rsid w:val="001A72F5"/>
    <w:rsid w:val="001B0499"/>
    <w:rsid w:val="001B2B1D"/>
    <w:rsid w:val="001B4ACC"/>
    <w:rsid w:val="001B5953"/>
    <w:rsid w:val="001C5558"/>
    <w:rsid w:val="001C6692"/>
    <w:rsid w:val="001D498B"/>
    <w:rsid w:val="001E0D4C"/>
    <w:rsid w:val="00201878"/>
    <w:rsid w:val="00213A2F"/>
    <w:rsid w:val="00220CFA"/>
    <w:rsid w:val="00236488"/>
    <w:rsid w:val="00245B84"/>
    <w:rsid w:val="00246A86"/>
    <w:rsid w:val="00263BE3"/>
    <w:rsid w:val="002725C7"/>
    <w:rsid w:val="00275541"/>
    <w:rsid w:val="00275ACD"/>
    <w:rsid w:val="002A7F5B"/>
    <w:rsid w:val="002B3189"/>
    <w:rsid w:val="002D4CB2"/>
    <w:rsid w:val="002D50E6"/>
    <w:rsid w:val="002E0C84"/>
    <w:rsid w:val="002E1851"/>
    <w:rsid w:val="002E24B0"/>
    <w:rsid w:val="002F15FA"/>
    <w:rsid w:val="00312C6E"/>
    <w:rsid w:val="003149B4"/>
    <w:rsid w:val="0033309E"/>
    <w:rsid w:val="00333FBC"/>
    <w:rsid w:val="00343B0B"/>
    <w:rsid w:val="00361A9D"/>
    <w:rsid w:val="003A253D"/>
    <w:rsid w:val="003B214C"/>
    <w:rsid w:val="003C45D8"/>
    <w:rsid w:val="003C799C"/>
    <w:rsid w:val="003F7862"/>
    <w:rsid w:val="00405845"/>
    <w:rsid w:val="00406551"/>
    <w:rsid w:val="00406BA7"/>
    <w:rsid w:val="00416B81"/>
    <w:rsid w:val="00421D4B"/>
    <w:rsid w:val="00426158"/>
    <w:rsid w:val="00426E65"/>
    <w:rsid w:val="0044500F"/>
    <w:rsid w:val="004554EB"/>
    <w:rsid w:val="00457F47"/>
    <w:rsid w:val="0047597E"/>
    <w:rsid w:val="004844F8"/>
    <w:rsid w:val="0049377E"/>
    <w:rsid w:val="00494958"/>
    <w:rsid w:val="004A43AC"/>
    <w:rsid w:val="004B2542"/>
    <w:rsid w:val="004B3C35"/>
    <w:rsid w:val="004B6F7B"/>
    <w:rsid w:val="004E0ECC"/>
    <w:rsid w:val="005315BC"/>
    <w:rsid w:val="00541DD5"/>
    <w:rsid w:val="0054373B"/>
    <w:rsid w:val="00580512"/>
    <w:rsid w:val="00583088"/>
    <w:rsid w:val="005958F0"/>
    <w:rsid w:val="005B2181"/>
    <w:rsid w:val="005B3A09"/>
    <w:rsid w:val="005B6607"/>
    <w:rsid w:val="005C11EA"/>
    <w:rsid w:val="005C46B7"/>
    <w:rsid w:val="005D5463"/>
    <w:rsid w:val="005F14E8"/>
    <w:rsid w:val="005F59BA"/>
    <w:rsid w:val="006152BB"/>
    <w:rsid w:val="00621BCB"/>
    <w:rsid w:val="0063101B"/>
    <w:rsid w:val="00634385"/>
    <w:rsid w:val="00652D38"/>
    <w:rsid w:val="00654544"/>
    <w:rsid w:val="006655A7"/>
    <w:rsid w:val="0068447E"/>
    <w:rsid w:val="00686EDD"/>
    <w:rsid w:val="0069337E"/>
    <w:rsid w:val="0069474A"/>
    <w:rsid w:val="006B40AC"/>
    <w:rsid w:val="006B49E1"/>
    <w:rsid w:val="006C2FD4"/>
    <w:rsid w:val="006F28D8"/>
    <w:rsid w:val="006F4670"/>
    <w:rsid w:val="00710F87"/>
    <w:rsid w:val="00731690"/>
    <w:rsid w:val="00747EF9"/>
    <w:rsid w:val="00753A27"/>
    <w:rsid w:val="00756910"/>
    <w:rsid w:val="00760386"/>
    <w:rsid w:val="00782613"/>
    <w:rsid w:val="007873FD"/>
    <w:rsid w:val="00791D73"/>
    <w:rsid w:val="007A2763"/>
    <w:rsid w:val="007A54D3"/>
    <w:rsid w:val="007C5CDF"/>
    <w:rsid w:val="007E5324"/>
    <w:rsid w:val="007F1C04"/>
    <w:rsid w:val="007F25E8"/>
    <w:rsid w:val="007F26FF"/>
    <w:rsid w:val="007F58AE"/>
    <w:rsid w:val="007F6AD2"/>
    <w:rsid w:val="008042F9"/>
    <w:rsid w:val="00807AA2"/>
    <w:rsid w:val="00830597"/>
    <w:rsid w:val="008316A5"/>
    <w:rsid w:val="00885621"/>
    <w:rsid w:val="008A726D"/>
    <w:rsid w:val="008D4ED9"/>
    <w:rsid w:val="008E66EF"/>
    <w:rsid w:val="008F2201"/>
    <w:rsid w:val="008F4F21"/>
    <w:rsid w:val="008F63EB"/>
    <w:rsid w:val="009279B6"/>
    <w:rsid w:val="00957508"/>
    <w:rsid w:val="00964521"/>
    <w:rsid w:val="0098740F"/>
    <w:rsid w:val="009A4F73"/>
    <w:rsid w:val="009B4DAA"/>
    <w:rsid w:val="009F2445"/>
    <w:rsid w:val="00A1494A"/>
    <w:rsid w:val="00A40D5C"/>
    <w:rsid w:val="00A66A33"/>
    <w:rsid w:val="00AA0226"/>
    <w:rsid w:val="00AA3DC2"/>
    <w:rsid w:val="00AA6AE8"/>
    <w:rsid w:val="00AB4A12"/>
    <w:rsid w:val="00AB737D"/>
    <w:rsid w:val="00AB7837"/>
    <w:rsid w:val="00AC2321"/>
    <w:rsid w:val="00AD25DB"/>
    <w:rsid w:val="00AE5D50"/>
    <w:rsid w:val="00AF4C66"/>
    <w:rsid w:val="00AF5EAC"/>
    <w:rsid w:val="00B05B3D"/>
    <w:rsid w:val="00B2302F"/>
    <w:rsid w:val="00B26E92"/>
    <w:rsid w:val="00B277A3"/>
    <w:rsid w:val="00B33C45"/>
    <w:rsid w:val="00B358B7"/>
    <w:rsid w:val="00B44768"/>
    <w:rsid w:val="00B67CE1"/>
    <w:rsid w:val="00B87385"/>
    <w:rsid w:val="00BA6805"/>
    <w:rsid w:val="00BA6AAB"/>
    <w:rsid w:val="00BB2931"/>
    <w:rsid w:val="00BB468B"/>
    <w:rsid w:val="00BE16E5"/>
    <w:rsid w:val="00BF19EF"/>
    <w:rsid w:val="00BF1C03"/>
    <w:rsid w:val="00C01067"/>
    <w:rsid w:val="00C13519"/>
    <w:rsid w:val="00C205FA"/>
    <w:rsid w:val="00C2590C"/>
    <w:rsid w:val="00C31039"/>
    <w:rsid w:val="00C33831"/>
    <w:rsid w:val="00C426D6"/>
    <w:rsid w:val="00C51EF1"/>
    <w:rsid w:val="00C53194"/>
    <w:rsid w:val="00C55EF8"/>
    <w:rsid w:val="00C67247"/>
    <w:rsid w:val="00C70F2C"/>
    <w:rsid w:val="00C8105F"/>
    <w:rsid w:val="00C93734"/>
    <w:rsid w:val="00CA0331"/>
    <w:rsid w:val="00CA1039"/>
    <w:rsid w:val="00CA4719"/>
    <w:rsid w:val="00CB2AEF"/>
    <w:rsid w:val="00CB673A"/>
    <w:rsid w:val="00CC1EAD"/>
    <w:rsid w:val="00CC686F"/>
    <w:rsid w:val="00CD76D7"/>
    <w:rsid w:val="00CE4497"/>
    <w:rsid w:val="00CF7DD3"/>
    <w:rsid w:val="00D06BD2"/>
    <w:rsid w:val="00D12BD0"/>
    <w:rsid w:val="00D14423"/>
    <w:rsid w:val="00D2609A"/>
    <w:rsid w:val="00D35646"/>
    <w:rsid w:val="00D71FA8"/>
    <w:rsid w:val="00D84AD4"/>
    <w:rsid w:val="00DA1BA0"/>
    <w:rsid w:val="00DA1FE2"/>
    <w:rsid w:val="00DA556E"/>
    <w:rsid w:val="00DB17C9"/>
    <w:rsid w:val="00DB25B2"/>
    <w:rsid w:val="00DB70C8"/>
    <w:rsid w:val="00DC44CD"/>
    <w:rsid w:val="00DD522B"/>
    <w:rsid w:val="00E01384"/>
    <w:rsid w:val="00E05FB4"/>
    <w:rsid w:val="00E15C76"/>
    <w:rsid w:val="00E46979"/>
    <w:rsid w:val="00E60094"/>
    <w:rsid w:val="00E77BB7"/>
    <w:rsid w:val="00E821CF"/>
    <w:rsid w:val="00E83034"/>
    <w:rsid w:val="00E95BB8"/>
    <w:rsid w:val="00EE6C79"/>
    <w:rsid w:val="00EF77CB"/>
    <w:rsid w:val="00F00C6E"/>
    <w:rsid w:val="00F05E14"/>
    <w:rsid w:val="00F26EC3"/>
    <w:rsid w:val="00F63601"/>
    <w:rsid w:val="00F649F7"/>
    <w:rsid w:val="00F86D1D"/>
    <w:rsid w:val="00F87678"/>
    <w:rsid w:val="00F90CAC"/>
    <w:rsid w:val="00F969AF"/>
    <w:rsid w:val="00FA3FAC"/>
    <w:rsid w:val="00FA6F58"/>
    <w:rsid w:val="00FA7C47"/>
    <w:rsid w:val="00FC6EC9"/>
    <w:rsid w:val="00FD5DC2"/>
    <w:rsid w:val="00FD6EC6"/>
    <w:rsid w:val="00FE33D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531F5C"/>
  <w15:docId w15:val="{9FFF35F5-B14B-41CE-8222-85225587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08" w:type="dxa"/>
        <w:right w:w="108" w:type="dxa"/>
      </w:tblCellMar>
    </w:tblPr>
  </w:style>
  <w:style w:type="paragraph" w:styleId="Textoindependiente">
    <w:name w:val="Body Text"/>
    <w:basedOn w:val="Normal"/>
    <w:link w:val="TextoindependienteCar"/>
    <w:uiPriority w:val="1"/>
    <w:qFormat/>
    <w:rsid w:val="00405845"/>
    <w:pPr>
      <w:widowControl w:val="0"/>
      <w:autoSpaceDE w:val="0"/>
      <w:autoSpaceDN w:val="0"/>
    </w:pPr>
    <w:rPr>
      <w:rFonts w:ascii="Arial" w:eastAsia="Arial" w:hAnsi="Arial" w:cs="Arial"/>
      <w:lang w:val="es-ES" w:eastAsia="en-US"/>
    </w:rPr>
  </w:style>
  <w:style w:type="character" w:customStyle="1" w:styleId="TextoindependienteCar">
    <w:name w:val="Texto independiente Car"/>
    <w:basedOn w:val="Fuentedeprrafopredeter"/>
    <w:link w:val="Textoindependiente"/>
    <w:uiPriority w:val="1"/>
    <w:rsid w:val="00405845"/>
    <w:rPr>
      <w:rFonts w:ascii="Arial" w:eastAsia="Arial" w:hAnsi="Arial" w:cs="Arial"/>
      <w:lang w:val="es-ES" w:eastAsia="en-US"/>
    </w:rPr>
  </w:style>
  <w:style w:type="paragraph" w:customStyle="1" w:styleId="TableParagraph">
    <w:name w:val="Table Paragraph"/>
    <w:basedOn w:val="Normal"/>
    <w:uiPriority w:val="1"/>
    <w:qFormat/>
    <w:rsid w:val="00405845"/>
    <w:pPr>
      <w:widowControl w:val="0"/>
      <w:autoSpaceDE w:val="0"/>
      <w:autoSpaceDN w:val="0"/>
    </w:pPr>
    <w:rPr>
      <w:rFonts w:ascii="Arial" w:eastAsia="Arial" w:hAnsi="Arial" w:cs="Arial"/>
      <w:sz w:val="22"/>
      <w:szCs w:val="22"/>
      <w:lang w:val="es-ES" w:eastAsia="en-US"/>
    </w:rPr>
  </w:style>
  <w:style w:type="character" w:styleId="Hipervnculo">
    <w:name w:val="Hyperlink"/>
    <w:basedOn w:val="Fuentedeprrafopredeter"/>
    <w:uiPriority w:val="99"/>
    <w:unhideWhenUsed/>
    <w:rsid w:val="00405845"/>
    <w:rPr>
      <w:color w:val="0000FF" w:themeColor="hyperlink"/>
      <w:u w:val="single"/>
    </w:rPr>
  </w:style>
  <w:style w:type="table" w:styleId="Tablaconcuadrcula">
    <w:name w:val="Table Grid"/>
    <w:basedOn w:val="Tablanormal"/>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84AD4"/>
    <w:pPr>
      <w:ind w:left="720"/>
      <w:contextualSpacing/>
    </w:pPr>
    <w:rPr>
      <w:rFonts w:asciiTheme="minorHAnsi" w:eastAsiaTheme="minorEastAsia" w:hAnsiTheme="minorHAnsi" w:cstheme="minorBidi"/>
      <w:lang w:val="es-ES_tradnl" w:eastAsia="es-ES"/>
    </w:rPr>
  </w:style>
  <w:style w:type="paragraph" w:styleId="Lista">
    <w:name w:val="List"/>
    <w:basedOn w:val="Normal"/>
    <w:uiPriority w:val="99"/>
    <w:unhideWhenUsed/>
    <w:rsid w:val="00D84AD4"/>
    <w:pPr>
      <w:spacing w:after="200" w:line="276" w:lineRule="auto"/>
      <w:ind w:left="283" w:hanging="283"/>
      <w:contextualSpacing/>
    </w:pPr>
    <w:rPr>
      <w:rFonts w:ascii="Cambria" w:eastAsia="Cambria" w:hAnsi="Cambria" w:cs="Times New Roman"/>
      <w:sz w:val="22"/>
      <w:szCs w:val="22"/>
      <w:lang w:val="es-ES" w:eastAsia="en-US"/>
    </w:rPr>
  </w:style>
  <w:style w:type="table" w:customStyle="1" w:styleId="Tablaconcuadrcula4">
    <w:name w:val="Tabla con cuadrícula4"/>
    <w:basedOn w:val="Tablanormal"/>
    <w:next w:val="Tablaconcuadrcula"/>
    <w:uiPriority w:val="39"/>
    <w:rsid w:val="00D84AD4"/>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5F59BA"/>
    <w:rPr>
      <w:rFonts w:ascii="Arial" w:eastAsia="Times New Roman" w:hAnsi="Arial" w:cs="Times New Roman"/>
      <w:lang w:eastAsia="es-ES_tradnl"/>
    </w:rPr>
  </w:style>
  <w:style w:type="character" w:customStyle="1" w:styleId="Mencinsinresolver1">
    <w:name w:val="Mención sin resolver1"/>
    <w:basedOn w:val="Fuentedeprrafopredeter"/>
    <w:uiPriority w:val="99"/>
    <w:semiHidden/>
    <w:unhideWhenUsed/>
    <w:rsid w:val="0049377E"/>
    <w:rPr>
      <w:color w:val="605E5C"/>
      <w:shd w:val="clear" w:color="auto" w:fill="E1DFDD"/>
    </w:rPr>
  </w:style>
  <w:style w:type="paragraph" w:styleId="Textonotapie">
    <w:name w:val="footnote text"/>
    <w:basedOn w:val="Normal"/>
    <w:link w:val="TextonotapieCar"/>
    <w:uiPriority w:val="99"/>
    <w:semiHidden/>
    <w:unhideWhenUsed/>
    <w:rsid w:val="00220CFA"/>
    <w:rPr>
      <w:sz w:val="20"/>
      <w:szCs w:val="20"/>
    </w:rPr>
  </w:style>
  <w:style w:type="character" w:customStyle="1" w:styleId="TextonotapieCar">
    <w:name w:val="Texto nota pie Car"/>
    <w:basedOn w:val="Fuentedeprrafopredeter"/>
    <w:link w:val="Textonotapie"/>
    <w:uiPriority w:val="99"/>
    <w:semiHidden/>
    <w:rsid w:val="00220CFA"/>
    <w:rPr>
      <w:sz w:val="20"/>
      <w:szCs w:val="20"/>
    </w:rPr>
  </w:style>
  <w:style w:type="character" w:styleId="Refdenotaalpie">
    <w:name w:val="footnote reference"/>
    <w:basedOn w:val="Fuentedeprrafopredeter"/>
    <w:uiPriority w:val="99"/>
    <w:semiHidden/>
    <w:unhideWhenUsed/>
    <w:rsid w:val="00220CFA"/>
    <w:rPr>
      <w:vertAlign w:val="superscript"/>
    </w:rPr>
  </w:style>
  <w:style w:type="character" w:customStyle="1" w:styleId="Mencinsinresolver2">
    <w:name w:val="Mención sin resolver2"/>
    <w:basedOn w:val="Fuentedeprrafopredeter"/>
    <w:uiPriority w:val="99"/>
    <w:semiHidden/>
    <w:unhideWhenUsed/>
    <w:rsid w:val="00017802"/>
    <w:rPr>
      <w:color w:val="605E5C"/>
      <w:shd w:val="clear" w:color="auto" w:fill="E1DFDD"/>
    </w:rPr>
  </w:style>
  <w:style w:type="paragraph" w:customStyle="1" w:styleId="Default">
    <w:name w:val="Default"/>
    <w:rsid w:val="00406551"/>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312C6E"/>
    <w:rPr>
      <w:sz w:val="16"/>
      <w:szCs w:val="16"/>
    </w:rPr>
  </w:style>
  <w:style w:type="paragraph" w:styleId="Textocomentario">
    <w:name w:val="annotation text"/>
    <w:basedOn w:val="Normal"/>
    <w:link w:val="TextocomentarioCar"/>
    <w:uiPriority w:val="99"/>
    <w:semiHidden/>
    <w:unhideWhenUsed/>
    <w:rsid w:val="00312C6E"/>
    <w:rPr>
      <w:sz w:val="20"/>
      <w:szCs w:val="20"/>
    </w:rPr>
  </w:style>
  <w:style w:type="character" w:customStyle="1" w:styleId="TextocomentarioCar">
    <w:name w:val="Texto comentario Car"/>
    <w:basedOn w:val="Fuentedeprrafopredeter"/>
    <w:link w:val="Textocomentario"/>
    <w:uiPriority w:val="99"/>
    <w:semiHidden/>
    <w:rsid w:val="00312C6E"/>
    <w:rPr>
      <w:sz w:val="20"/>
      <w:szCs w:val="20"/>
    </w:rPr>
  </w:style>
  <w:style w:type="paragraph" w:styleId="Asuntodelcomentario">
    <w:name w:val="annotation subject"/>
    <w:basedOn w:val="Textocomentario"/>
    <w:next w:val="Textocomentario"/>
    <w:link w:val="AsuntodelcomentarioCar"/>
    <w:uiPriority w:val="99"/>
    <w:semiHidden/>
    <w:unhideWhenUsed/>
    <w:rsid w:val="00312C6E"/>
    <w:rPr>
      <w:b/>
      <w:bCs/>
    </w:rPr>
  </w:style>
  <w:style w:type="character" w:customStyle="1" w:styleId="AsuntodelcomentarioCar">
    <w:name w:val="Asunto del comentario Car"/>
    <w:basedOn w:val="TextocomentarioCar"/>
    <w:link w:val="Asuntodelcomentario"/>
    <w:uiPriority w:val="99"/>
    <w:semiHidden/>
    <w:rsid w:val="00312C6E"/>
    <w:rPr>
      <w:b/>
      <w:bCs/>
      <w:sz w:val="20"/>
      <w:szCs w:val="20"/>
    </w:rPr>
  </w:style>
  <w:style w:type="paragraph" w:styleId="Textodeglobo">
    <w:name w:val="Balloon Text"/>
    <w:basedOn w:val="Normal"/>
    <w:link w:val="TextodegloboCar"/>
    <w:uiPriority w:val="99"/>
    <w:semiHidden/>
    <w:unhideWhenUsed/>
    <w:rsid w:val="00312C6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12C6E"/>
    <w:rPr>
      <w:rFonts w:ascii="Segoe UI" w:hAnsi="Segoe UI" w:cs="Segoe UI"/>
      <w:sz w:val="18"/>
      <w:szCs w:val="18"/>
    </w:rPr>
  </w:style>
  <w:style w:type="paragraph" w:styleId="Piedepgina">
    <w:name w:val="footer"/>
    <w:basedOn w:val="Normal"/>
    <w:link w:val="PiedepginaCar"/>
    <w:uiPriority w:val="99"/>
    <w:unhideWhenUsed/>
    <w:rsid w:val="00DD522B"/>
    <w:pPr>
      <w:tabs>
        <w:tab w:val="center" w:pos="4419"/>
        <w:tab w:val="right" w:pos="8838"/>
      </w:tabs>
    </w:pPr>
  </w:style>
  <w:style w:type="character" w:customStyle="1" w:styleId="PiedepginaCar">
    <w:name w:val="Pie de página Car"/>
    <w:basedOn w:val="Fuentedeprrafopredeter"/>
    <w:link w:val="Piedepgina"/>
    <w:uiPriority w:val="99"/>
    <w:rsid w:val="00DD522B"/>
  </w:style>
  <w:style w:type="character" w:customStyle="1" w:styleId="iaj">
    <w:name w:val="i_aj"/>
    <w:basedOn w:val="Fuentedeprrafopredeter"/>
    <w:rsid w:val="00CC686F"/>
  </w:style>
  <w:style w:type="character" w:customStyle="1" w:styleId="baj">
    <w:name w:val="b_aj"/>
    <w:basedOn w:val="Fuentedeprrafopredeter"/>
    <w:rsid w:val="00CC686F"/>
  </w:style>
  <w:style w:type="paragraph" w:styleId="NormalWeb">
    <w:name w:val="Normal (Web)"/>
    <w:basedOn w:val="Normal"/>
    <w:uiPriority w:val="99"/>
    <w:unhideWhenUsed/>
    <w:rsid w:val="00146C64"/>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9420">
      <w:bodyDiv w:val="1"/>
      <w:marLeft w:val="0"/>
      <w:marRight w:val="0"/>
      <w:marTop w:val="0"/>
      <w:marBottom w:val="0"/>
      <w:divBdr>
        <w:top w:val="none" w:sz="0" w:space="0" w:color="auto"/>
        <w:left w:val="none" w:sz="0" w:space="0" w:color="auto"/>
        <w:bottom w:val="none" w:sz="0" w:space="0" w:color="auto"/>
        <w:right w:val="none" w:sz="0" w:space="0" w:color="auto"/>
      </w:divBdr>
    </w:div>
    <w:div w:id="105465984">
      <w:bodyDiv w:val="1"/>
      <w:marLeft w:val="0"/>
      <w:marRight w:val="0"/>
      <w:marTop w:val="0"/>
      <w:marBottom w:val="0"/>
      <w:divBdr>
        <w:top w:val="none" w:sz="0" w:space="0" w:color="auto"/>
        <w:left w:val="none" w:sz="0" w:space="0" w:color="auto"/>
        <w:bottom w:val="none" w:sz="0" w:space="0" w:color="auto"/>
        <w:right w:val="none" w:sz="0" w:space="0" w:color="auto"/>
      </w:divBdr>
    </w:div>
    <w:div w:id="191772229">
      <w:bodyDiv w:val="1"/>
      <w:marLeft w:val="0"/>
      <w:marRight w:val="0"/>
      <w:marTop w:val="0"/>
      <w:marBottom w:val="0"/>
      <w:divBdr>
        <w:top w:val="none" w:sz="0" w:space="0" w:color="auto"/>
        <w:left w:val="none" w:sz="0" w:space="0" w:color="auto"/>
        <w:bottom w:val="none" w:sz="0" w:space="0" w:color="auto"/>
        <w:right w:val="none" w:sz="0" w:space="0" w:color="auto"/>
      </w:divBdr>
      <w:divsChild>
        <w:div w:id="695346212">
          <w:marLeft w:val="0"/>
          <w:marRight w:val="0"/>
          <w:marTop w:val="0"/>
          <w:marBottom w:val="0"/>
          <w:divBdr>
            <w:top w:val="none" w:sz="0" w:space="0" w:color="auto"/>
            <w:left w:val="none" w:sz="0" w:space="0" w:color="auto"/>
            <w:bottom w:val="none" w:sz="0" w:space="0" w:color="auto"/>
            <w:right w:val="none" w:sz="0" w:space="0" w:color="auto"/>
          </w:divBdr>
        </w:div>
        <w:div w:id="1219973433">
          <w:marLeft w:val="0"/>
          <w:marRight w:val="0"/>
          <w:marTop w:val="0"/>
          <w:marBottom w:val="0"/>
          <w:divBdr>
            <w:top w:val="none" w:sz="0" w:space="0" w:color="auto"/>
            <w:left w:val="none" w:sz="0" w:space="0" w:color="auto"/>
            <w:bottom w:val="none" w:sz="0" w:space="0" w:color="auto"/>
            <w:right w:val="none" w:sz="0" w:space="0" w:color="auto"/>
          </w:divBdr>
        </w:div>
        <w:div w:id="1276869223">
          <w:marLeft w:val="0"/>
          <w:marRight w:val="0"/>
          <w:marTop w:val="0"/>
          <w:marBottom w:val="0"/>
          <w:divBdr>
            <w:top w:val="none" w:sz="0" w:space="0" w:color="auto"/>
            <w:left w:val="none" w:sz="0" w:space="0" w:color="auto"/>
            <w:bottom w:val="none" w:sz="0" w:space="0" w:color="auto"/>
            <w:right w:val="none" w:sz="0" w:space="0" w:color="auto"/>
          </w:divBdr>
        </w:div>
        <w:div w:id="1302734719">
          <w:marLeft w:val="0"/>
          <w:marRight w:val="0"/>
          <w:marTop w:val="0"/>
          <w:marBottom w:val="0"/>
          <w:divBdr>
            <w:top w:val="none" w:sz="0" w:space="0" w:color="auto"/>
            <w:left w:val="none" w:sz="0" w:space="0" w:color="auto"/>
            <w:bottom w:val="none" w:sz="0" w:space="0" w:color="auto"/>
            <w:right w:val="none" w:sz="0" w:space="0" w:color="auto"/>
          </w:divBdr>
        </w:div>
        <w:div w:id="1787965439">
          <w:marLeft w:val="0"/>
          <w:marRight w:val="0"/>
          <w:marTop w:val="0"/>
          <w:marBottom w:val="0"/>
          <w:divBdr>
            <w:top w:val="none" w:sz="0" w:space="0" w:color="auto"/>
            <w:left w:val="none" w:sz="0" w:space="0" w:color="auto"/>
            <w:bottom w:val="none" w:sz="0" w:space="0" w:color="auto"/>
            <w:right w:val="none" w:sz="0" w:space="0" w:color="auto"/>
          </w:divBdr>
        </w:div>
      </w:divsChild>
    </w:div>
    <w:div w:id="232159942">
      <w:bodyDiv w:val="1"/>
      <w:marLeft w:val="0"/>
      <w:marRight w:val="0"/>
      <w:marTop w:val="0"/>
      <w:marBottom w:val="0"/>
      <w:divBdr>
        <w:top w:val="none" w:sz="0" w:space="0" w:color="auto"/>
        <w:left w:val="none" w:sz="0" w:space="0" w:color="auto"/>
        <w:bottom w:val="none" w:sz="0" w:space="0" w:color="auto"/>
        <w:right w:val="none" w:sz="0" w:space="0" w:color="auto"/>
      </w:divBdr>
    </w:div>
    <w:div w:id="423501809">
      <w:bodyDiv w:val="1"/>
      <w:marLeft w:val="0"/>
      <w:marRight w:val="0"/>
      <w:marTop w:val="0"/>
      <w:marBottom w:val="0"/>
      <w:divBdr>
        <w:top w:val="none" w:sz="0" w:space="0" w:color="auto"/>
        <w:left w:val="none" w:sz="0" w:space="0" w:color="auto"/>
        <w:bottom w:val="none" w:sz="0" w:space="0" w:color="auto"/>
        <w:right w:val="none" w:sz="0" w:space="0" w:color="auto"/>
      </w:divBdr>
    </w:div>
    <w:div w:id="440229660">
      <w:bodyDiv w:val="1"/>
      <w:marLeft w:val="0"/>
      <w:marRight w:val="0"/>
      <w:marTop w:val="0"/>
      <w:marBottom w:val="0"/>
      <w:divBdr>
        <w:top w:val="none" w:sz="0" w:space="0" w:color="auto"/>
        <w:left w:val="none" w:sz="0" w:space="0" w:color="auto"/>
        <w:bottom w:val="none" w:sz="0" w:space="0" w:color="auto"/>
        <w:right w:val="none" w:sz="0" w:space="0" w:color="auto"/>
      </w:divBdr>
    </w:div>
    <w:div w:id="489709530">
      <w:bodyDiv w:val="1"/>
      <w:marLeft w:val="0"/>
      <w:marRight w:val="0"/>
      <w:marTop w:val="0"/>
      <w:marBottom w:val="0"/>
      <w:divBdr>
        <w:top w:val="none" w:sz="0" w:space="0" w:color="auto"/>
        <w:left w:val="none" w:sz="0" w:space="0" w:color="auto"/>
        <w:bottom w:val="none" w:sz="0" w:space="0" w:color="auto"/>
        <w:right w:val="none" w:sz="0" w:space="0" w:color="auto"/>
      </w:divBdr>
    </w:div>
    <w:div w:id="552617947">
      <w:bodyDiv w:val="1"/>
      <w:marLeft w:val="0"/>
      <w:marRight w:val="0"/>
      <w:marTop w:val="0"/>
      <w:marBottom w:val="0"/>
      <w:divBdr>
        <w:top w:val="none" w:sz="0" w:space="0" w:color="auto"/>
        <w:left w:val="none" w:sz="0" w:space="0" w:color="auto"/>
        <w:bottom w:val="none" w:sz="0" w:space="0" w:color="auto"/>
        <w:right w:val="none" w:sz="0" w:space="0" w:color="auto"/>
      </w:divBdr>
    </w:div>
    <w:div w:id="554387489">
      <w:bodyDiv w:val="1"/>
      <w:marLeft w:val="0"/>
      <w:marRight w:val="0"/>
      <w:marTop w:val="0"/>
      <w:marBottom w:val="0"/>
      <w:divBdr>
        <w:top w:val="none" w:sz="0" w:space="0" w:color="auto"/>
        <w:left w:val="none" w:sz="0" w:space="0" w:color="auto"/>
        <w:bottom w:val="none" w:sz="0" w:space="0" w:color="auto"/>
        <w:right w:val="none" w:sz="0" w:space="0" w:color="auto"/>
      </w:divBdr>
    </w:div>
    <w:div w:id="582682971">
      <w:bodyDiv w:val="1"/>
      <w:marLeft w:val="0"/>
      <w:marRight w:val="0"/>
      <w:marTop w:val="0"/>
      <w:marBottom w:val="0"/>
      <w:divBdr>
        <w:top w:val="none" w:sz="0" w:space="0" w:color="auto"/>
        <w:left w:val="none" w:sz="0" w:space="0" w:color="auto"/>
        <w:bottom w:val="none" w:sz="0" w:space="0" w:color="auto"/>
        <w:right w:val="none" w:sz="0" w:space="0" w:color="auto"/>
      </w:divBdr>
      <w:divsChild>
        <w:div w:id="221867642">
          <w:marLeft w:val="0"/>
          <w:marRight w:val="0"/>
          <w:marTop w:val="0"/>
          <w:marBottom w:val="0"/>
          <w:divBdr>
            <w:top w:val="none" w:sz="0" w:space="0" w:color="auto"/>
            <w:left w:val="none" w:sz="0" w:space="0" w:color="auto"/>
            <w:bottom w:val="none" w:sz="0" w:space="0" w:color="auto"/>
            <w:right w:val="none" w:sz="0" w:space="0" w:color="auto"/>
          </w:divBdr>
        </w:div>
        <w:div w:id="1467241731">
          <w:marLeft w:val="0"/>
          <w:marRight w:val="0"/>
          <w:marTop w:val="0"/>
          <w:marBottom w:val="0"/>
          <w:divBdr>
            <w:top w:val="none" w:sz="0" w:space="0" w:color="auto"/>
            <w:left w:val="none" w:sz="0" w:space="0" w:color="auto"/>
            <w:bottom w:val="none" w:sz="0" w:space="0" w:color="auto"/>
            <w:right w:val="none" w:sz="0" w:space="0" w:color="auto"/>
          </w:divBdr>
        </w:div>
        <w:div w:id="1783762916">
          <w:marLeft w:val="0"/>
          <w:marRight w:val="0"/>
          <w:marTop w:val="0"/>
          <w:marBottom w:val="0"/>
          <w:divBdr>
            <w:top w:val="none" w:sz="0" w:space="0" w:color="auto"/>
            <w:left w:val="none" w:sz="0" w:space="0" w:color="auto"/>
            <w:bottom w:val="none" w:sz="0" w:space="0" w:color="auto"/>
            <w:right w:val="none" w:sz="0" w:space="0" w:color="auto"/>
          </w:divBdr>
        </w:div>
        <w:div w:id="1816214235">
          <w:marLeft w:val="0"/>
          <w:marRight w:val="0"/>
          <w:marTop w:val="0"/>
          <w:marBottom w:val="0"/>
          <w:divBdr>
            <w:top w:val="none" w:sz="0" w:space="0" w:color="auto"/>
            <w:left w:val="none" w:sz="0" w:space="0" w:color="auto"/>
            <w:bottom w:val="none" w:sz="0" w:space="0" w:color="auto"/>
            <w:right w:val="none" w:sz="0" w:space="0" w:color="auto"/>
          </w:divBdr>
        </w:div>
        <w:div w:id="2143495945">
          <w:marLeft w:val="0"/>
          <w:marRight w:val="0"/>
          <w:marTop w:val="0"/>
          <w:marBottom w:val="0"/>
          <w:divBdr>
            <w:top w:val="none" w:sz="0" w:space="0" w:color="auto"/>
            <w:left w:val="none" w:sz="0" w:space="0" w:color="auto"/>
            <w:bottom w:val="none" w:sz="0" w:space="0" w:color="auto"/>
            <w:right w:val="none" w:sz="0" w:space="0" w:color="auto"/>
          </w:divBdr>
        </w:div>
      </w:divsChild>
    </w:div>
    <w:div w:id="690836420">
      <w:bodyDiv w:val="1"/>
      <w:marLeft w:val="0"/>
      <w:marRight w:val="0"/>
      <w:marTop w:val="0"/>
      <w:marBottom w:val="0"/>
      <w:divBdr>
        <w:top w:val="none" w:sz="0" w:space="0" w:color="auto"/>
        <w:left w:val="none" w:sz="0" w:space="0" w:color="auto"/>
        <w:bottom w:val="none" w:sz="0" w:space="0" w:color="auto"/>
        <w:right w:val="none" w:sz="0" w:space="0" w:color="auto"/>
      </w:divBdr>
    </w:div>
    <w:div w:id="693190958">
      <w:bodyDiv w:val="1"/>
      <w:marLeft w:val="0"/>
      <w:marRight w:val="0"/>
      <w:marTop w:val="0"/>
      <w:marBottom w:val="0"/>
      <w:divBdr>
        <w:top w:val="none" w:sz="0" w:space="0" w:color="auto"/>
        <w:left w:val="none" w:sz="0" w:space="0" w:color="auto"/>
        <w:bottom w:val="none" w:sz="0" w:space="0" w:color="auto"/>
        <w:right w:val="none" w:sz="0" w:space="0" w:color="auto"/>
      </w:divBdr>
    </w:div>
    <w:div w:id="760881806">
      <w:bodyDiv w:val="1"/>
      <w:marLeft w:val="0"/>
      <w:marRight w:val="0"/>
      <w:marTop w:val="0"/>
      <w:marBottom w:val="0"/>
      <w:divBdr>
        <w:top w:val="none" w:sz="0" w:space="0" w:color="auto"/>
        <w:left w:val="none" w:sz="0" w:space="0" w:color="auto"/>
        <w:bottom w:val="none" w:sz="0" w:space="0" w:color="auto"/>
        <w:right w:val="none" w:sz="0" w:space="0" w:color="auto"/>
      </w:divBdr>
    </w:div>
    <w:div w:id="803355148">
      <w:bodyDiv w:val="1"/>
      <w:marLeft w:val="0"/>
      <w:marRight w:val="0"/>
      <w:marTop w:val="0"/>
      <w:marBottom w:val="0"/>
      <w:divBdr>
        <w:top w:val="none" w:sz="0" w:space="0" w:color="auto"/>
        <w:left w:val="none" w:sz="0" w:space="0" w:color="auto"/>
        <w:bottom w:val="none" w:sz="0" w:space="0" w:color="auto"/>
        <w:right w:val="none" w:sz="0" w:space="0" w:color="auto"/>
      </w:divBdr>
      <w:divsChild>
        <w:div w:id="292295937">
          <w:marLeft w:val="0"/>
          <w:marRight w:val="0"/>
          <w:marTop w:val="0"/>
          <w:marBottom w:val="0"/>
          <w:divBdr>
            <w:top w:val="none" w:sz="0" w:space="0" w:color="auto"/>
            <w:left w:val="none" w:sz="0" w:space="0" w:color="auto"/>
            <w:bottom w:val="none" w:sz="0" w:space="0" w:color="auto"/>
            <w:right w:val="none" w:sz="0" w:space="0" w:color="auto"/>
          </w:divBdr>
        </w:div>
        <w:div w:id="327446293">
          <w:marLeft w:val="0"/>
          <w:marRight w:val="0"/>
          <w:marTop w:val="0"/>
          <w:marBottom w:val="0"/>
          <w:divBdr>
            <w:top w:val="none" w:sz="0" w:space="0" w:color="auto"/>
            <w:left w:val="none" w:sz="0" w:space="0" w:color="auto"/>
            <w:bottom w:val="none" w:sz="0" w:space="0" w:color="auto"/>
            <w:right w:val="none" w:sz="0" w:space="0" w:color="auto"/>
          </w:divBdr>
        </w:div>
        <w:div w:id="775173205">
          <w:marLeft w:val="0"/>
          <w:marRight w:val="0"/>
          <w:marTop w:val="0"/>
          <w:marBottom w:val="0"/>
          <w:divBdr>
            <w:top w:val="none" w:sz="0" w:space="0" w:color="auto"/>
            <w:left w:val="none" w:sz="0" w:space="0" w:color="auto"/>
            <w:bottom w:val="none" w:sz="0" w:space="0" w:color="auto"/>
            <w:right w:val="none" w:sz="0" w:space="0" w:color="auto"/>
          </w:divBdr>
        </w:div>
        <w:div w:id="862599562">
          <w:marLeft w:val="0"/>
          <w:marRight w:val="0"/>
          <w:marTop w:val="0"/>
          <w:marBottom w:val="0"/>
          <w:divBdr>
            <w:top w:val="none" w:sz="0" w:space="0" w:color="auto"/>
            <w:left w:val="none" w:sz="0" w:space="0" w:color="auto"/>
            <w:bottom w:val="none" w:sz="0" w:space="0" w:color="auto"/>
            <w:right w:val="none" w:sz="0" w:space="0" w:color="auto"/>
          </w:divBdr>
        </w:div>
        <w:div w:id="1024406252">
          <w:marLeft w:val="0"/>
          <w:marRight w:val="0"/>
          <w:marTop w:val="0"/>
          <w:marBottom w:val="0"/>
          <w:divBdr>
            <w:top w:val="none" w:sz="0" w:space="0" w:color="auto"/>
            <w:left w:val="none" w:sz="0" w:space="0" w:color="auto"/>
            <w:bottom w:val="none" w:sz="0" w:space="0" w:color="auto"/>
            <w:right w:val="none" w:sz="0" w:space="0" w:color="auto"/>
          </w:divBdr>
        </w:div>
        <w:div w:id="1279797002">
          <w:marLeft w:val="0"/>
          <w:marRight w:val="0"/>
          <w:marTop w:val="0"/>
          <w:marBottom w:val="0"/>
          <w:divBdr>
            <w:top w:val="none" w:sz="0" w:space="0" w:color="auto"/>
            <w:left w:val="none" w:sz="0" w:space="0" w:color="auto"/>
            <w:bottom w:val="none" w:sz="0" w:space="0" w:color="auto"/>
            <w:right w:val="none" w:sz="0" w:space="0" w:color="auto"/>
          </w:divBdr>
        </w:div>
        <w:div w:id="1381171790">
          <w:marLeft w:val="0"/>
          <w:marRight w:val="0"/>
          <w:marTop w:val="0"/>
          <w:marBottom w:val="0"/>
          <w:divBdr>
            <w:top w:val="none" w:sz="0" w:space="0" w:color="auto"/>
            <w:left w:val="none" w:sz="0" w:space="0" w:color="auto"/>
            <w:bottom w:val="none" w:sz="0" w:space="0" w:color="auto"/>
            <w:right w:val="none" w:sz="0" w:space="0" w:color="auto"/>
          </w:divBdr>
        </w:div>
        <w:div w:id="1654212480">
          <w:marLeft w:val="0"/>
          <w:marRight w:val="0"/>
          <w:marTop w:val="0"/>
          <w:marBottom w:val="0"/>
          <w:divBdr>
            <w:top w:val="none" w:sz="0" w:space="0" w:color="auto"/>
            <w:left w:val="none" w:sz="0" w:space="0" w:color="auto"/>
            <w:bottom w:val="none" w:sz="0" w:space="0" w:color="auto"/>
            <w:right w:val="none" w:sz="0" w:space="0" w:color="auto"/>
          </w:divBdr>
        </w:div>
        <w:div w:id="2132430719">
          <w:marLeft w:val="0"/>
          <w:marRight w:val="0"/>
          <w:marTop w:val="0"/>
          <w:marBottom w:val="0"/>
          <w:divBdr>
            <w:top w:val="none" w:sz="0" w:space="0" w:color="auto"/>
            <w:left w:val="none" w:sz="0" w:space="0" w:color="auto"/>
            <w:bottom w:val="none" w:sz="0" w:space="0" w:color="auto"/>
            <w:right w:val="none" w:sz="0" w:space="0" w:color="auto"/>
          </w:divBdr>
        </w:div>
      </w:divsChild>
    </w:div>
    <w:div w:id="918756909">
      <w:bodyDiv w:val="1"/>
      <w:marLeft w:val="0"/>
      <w:marRight w:val="0"/>
      <w:marTop w:val="0"/>
      <w:marBottom w:val="0"/>
      <w:divBdr>
        <w:top w:val="none" w:sz="0" w:space="0" w:color="auto"/>
        <w:left w:val="none" w:sz="0" w:space="0" w:color="auto"/>
        <w:bottom w:val="none" w:sz="0" w:space="0" w:color="auto"/>
        <w:right w:val="none" w:sz="0" w:space="0" w:color="auto"/>
      </w:divBdr>
    </w:div>
    <w:div w:id="942297765">
      <w:bodyDiv w:val="1"/>
      <w:marLeft w:val="0"/>
      <w:marRight w:val="0"/>
      <w:marTop w:val="0"/>
      <w:marBottom w:val="0"/>
      <w:divBdr>
        <w:top w:val="none" w:sz="0" w:space="0" w:color="auto"/>
        <w:left w:val="none" w:sz="0" w:space="0" w:color="auto"/>
        <w:bottom w:val="none" w:sz="0" w:space="0" w:color="auto"/>
        <w:right w:val="none" w:sz="0" w:space="0" w:color="auto"/>
      </w:divBdr>
    </w:div>
    <w:div w:id="966856058">
      <w:bodyDiv w:val="1"/>
      <w:marLeft w:val="0"/>
      <w:marRight w:val="0"/>
      <w:marTop w:val="0"/>
      <w:marBottom w:val="0"/>
      <w:divBdr>
        <w:top w:val="none" w:sz="0" w:space="0" w:color="auto"/>
        <w:left w:val="none" w:sz="0" w:space="0" w:color="auto"/>
        <w:bottom w:val="none" w:sz="0" w:space="0" w:color="auto"/>
        <w:right w:val="none" w:sz="0" w:space="0" w:color="auto"/>
      </w:divBdr>
    </w:div>
    <w:div w:id="984697166">
      <w:bodyDiv w:val="1"/>
      <w:marLeft w:val="0"/>
      <w:marRight w:val="0"/>
      <w:marTop w:val="0"/>
      <w:marBottom w:val="0"/>
      <w:divBdr>
        <w:top w:val="none" w:sz="0" w:space="0" w:color="auto"/>
        <w:left w:val="none" w:sz="0" w:space="0" w:color="auto"/>
        <w:bottom w:val="none" w:sz="0" w:space="0" w:color="auto"/>
        <w:right w:val="none" w:sz="0" w:space="0" w:color="auto"/>
      </w:divBdr>
    </w:div>
    <w:div w:id="1034577061">
      <w:bodyDiv w:val="1"/>
      <w:marLeft w:val="0"/>
      <w:marRight w:val="0"/>
      <w:marTop w:val="0"/>
      <w:marBottom w:val="0"/>
      <w:divBdr>
        <w:top w:val="none" w:sz="0" w:space="0" w:color="auto"/>
        <w:left w:val="none" w:sz="0" w:space="0" w:color="auto"/>
        <w:bottom w:val="none" w:sz="0" w:space="0" w:color="auto"/>
        <w:right w:val="none" w:sz="0" w:space="0" w:color="auto"/>
      </w:divBdr>
    </w:div>
    <w:div w:id="1085766699">
      <w:bodyDiv w:val="1"/>
      <w:marLeft w:val="0"/>
      <w:marRight w:val="0"/>
      <w:marTop w:val="0"/>
      <w:marBottom w:val="0"/>
      <w:divBdr>
        <w:top w:val="none" w:sz="0" w:space="0" w:color="auto"/>
        <w:left w:val="none" w:sz="0" w:space="0" w:color="auto"/>
        <w:bottom w:val="none" w:sz="0" w:space="0" w:color="auto"/>
        <w:right w:val="none" w:sz="0" w:space="0" w:color="auto"/>
      </w:divBdr>
    </w:div>
    <w:div w:id="1132669651">
      <w:bodyDiv w:val="1"/>
      <w:marLeft w:val="0"/>
      <w:marRight w:val="0"/>
      <w:marTop w:val="0"/>
      <w:marBottom w:val="0"/>
      <w:divBdr>
        <w:top w:val="none" w:sz="0" w:space="0" w:color="auto"/>
        <w:left w:val="none" w:sz="0" w:space="0" w:color="auto"/>
        <w:bottom w:val="none" w:sz="0" w:space="0" w:color="auto"/>
        <w:right w:val="none" w:sz="0" w:space="0" w:color="auto"/>
      </w:divBdr>
    </w:div>
    <w:div w:id="1181703876">
      <w:bodyDiv w:val="1"/>
      <w:marLeft w:val="0"/>
      <w:marRight w:val="0"/>
      <w:marTop w:val="0"/>
      <w:marBottom w:val="0"/>
      <w:divBdr>
        <w:top w:val="none" w:sz="0" w:space="0" w:color="auto"/>
        <w:left w:val="none" w:sz="0" w:space="0" w:color="auto"/>
        <w:bottom w:val="none" w:sz="0" w:space="0" w:color="auto"/>
        <w:right w:val="none" w:sz="0" w:space="0" w:color="auto"/>
      </w:divBdr>
    </w:div>
    <w:div w:id="1193809016">
      <w:bodyDiv w:val="1"/>
      <w:marLeft w:val="0"/>
      <w:marRight w:val="0"/>
      <w:marTop w:val="0"/>
      <w:marBottom w:val="0"/>
      <w:divBdr>
        <w:top w:val="none" w:sz="0" w:space="0" w:color="auto"/>
        <w:left w:val="none" w:sz="0" w:space="0" w:color="auto"/>
        <w:bottom w:val="none" w:sz="0" w:space="0" w:color="auto"/>
        <w:right w:val="none" w:sz="0" w:space="0" w:color="auto"/>
      </w:divBdr>
    </w:div>
    <w:div w:id="1491679995">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17185709">
      <w:bodyDiv w:val="1"/>
      <w:marLeft w:val="0"/>
      <w:marRight w:val="0"/>
      <w:marTop w:val="0"/>
      <w:marBottom w:val="0"/>
      <w:divBdr>
        <w:top w:val="none" w:sz="0" w:space="0" w:color="auto"/>
        <w:left w:val="none" w:sz="0" w:space="0" w:color="auto"/>
        <w:bottom w:val="none" w:sz="0" w:space="0" w:color="auto"/>
        <w:right w:val="none" w:sz="0" w:space="0" w:color="auto"/>
      </w:divBdr>
    </w:div>
    <w:div w:id="1609308695">
      <w:bodyDiv w:val="1"/>
      <w:marLeft w:val="0"/>
      <w:marRight w:val="0"/>
      <w:marTop w:val="0"/>
      <w:marBottom w:val="0"/>
      <w:divBdr>
        <w:top w:val="none" w:sz="0" w:space="0" w:color="auto"/>
        <w:left w:val="none" w:sz="0" w:space="0" w:color="auto"/>
        <w:bottom w:val="none" w:sz="0" w:space="0" w:color="auto"/>
        <w:right w:val="none" w:sz="0" w:space="0" w:color="auto"/>
      </w:divBdr>
    </w:div>
    <w:div w:id="1626496182">
      <w:bodyDiv w:val="1"/>
      <w:marLeft w:val="0"/>
      <w:marRight w:val="0"/>
      <w:marTop w:val="0"/>
      <w:marBottom w:val="0"/>
      <w:divBdr>
        <w:top w:val="none" w:sz="0" w:space="0" w:color="auto"/>
        <w:left w:val="none" w:sz="0" w:space="0" w:color="auto"/>
        <w:bottom w:val="none" w:sz="0" w:space="0" w:color="auto"/>
        <w:right w:val="none" w:sz="0" w:space="0" w:color="auto"/>
      </w:divBdr>
    </w:div>
    <w:div w:id="1643846313">
      <w:bodyDiv w:val="1"/>
      <w:marLeft w:val="0"/>
      <w:marRight w:val="0"/>
      <w:marTop w:val="0"/>
      <w:marBottom w:val="0"/>
      <w:divBdr>
        <w:top w:val="none" w:sz="0" w:space="0" w:color="auto"/>
        <w:left w:val="none" w:sz="0" w:space="0" w:color="auto"/>
        <w:bottom w:val="none" w:sz="0" w:space="0" w:color="auto"/>
        <w:right w:val="none" w:sz="0" w:space="0" w:color="auto"/>
      </w:divBdr>
    </w:div>
    <w:div w:id="1682006490">
      <w:bodyDiv w:val="1"/>
      <w:marLeft w:val="0"/>
      <w:marRight w:val="0"/>
      <w:marTop w:val="0"/>
      <w:marBottom w:val="0"/>
      <w:divBdr>
        <w:top w:val="none" w:sz="0" w:space="0" w:color="auto"/>
        <w:left w:val="none" w:sz="0" w:space="0" w:color="auto"/>
        <w:bottom w:val="none" w:sz="0" w:space="0" w:color="auto"/>
        <w:right w:val="none" w:sz="0" w:space="0" w:color="auto"/>
      </w:divBdr>
    </w:div>
    <w:div w:id="1794328749">
      <w:bodyDiv w:val="1"/>
      <w:marLeft w:val="0"/>
      <w:marRight w:val="0"/>
      <w:marTop w:val="0"/>
      <w:marBottom w:val="0"/>
      <w:divBdr>
        <w:top w:val="none" w:sz="0" w:space="0" w:color="auto"/>
        <w:left w:val="none" w:sz="0" w:space="0" w:color="auto"/>
        <w:bottom w:val="none" w:sz="0" w:space="0" w:color="auto"/>
        <w:right w:val="none" w:sz="0" w:space="0" w:color="auto"/>
      </w:divBdr>
    </w:div>
    <w:div w:id="1955674546">
      <w:bodyDiv w:val="1"/>
      <w:marLeft w:val="0"/>
      <w:marRight w:val="0"/>
      <w:marTop w:val="0"/>
      <w:marBottom w:val="0"/>
      <w:divBdr>
        <w:top w:val="none" w:sz="0" w:space="0" w:color="auto"/>
        <w:left w:val="none" w:sz="0" w:space="0" w:color="auto"/>
        <w:bottom w:val="none" w:sz="0" w:space="0" w:color="auto"/>
        <w:right w:val="none" w:sz="0" w:space="0" w:color="auto"/>
      </w:divBdr>
    </w:div>
    <w:div w:id="2024740804">
      <w:bodyDiv w:val="1"/>
      <w:marLeft w:val="0"/>
      <w:marRight w:val="0"/>
      <w:marTop w:val="0"/>
      <w:marBottom w:val="0"/>
      <w:divBdr>
        <w:top w:val="none" w:sz="0" w:space="0" w:color="auto"/>
        <w:left w:val="none" w:sz="0" w:space="0" w:color="auto"/>
        <w:bottom w:val="none" w:sz="0" w:space="0" w:color="auto"/>
        <w:right w:val="none" w:sz="0" w:space="0" w:color="auto"/>
      </w:divBdr>
    </w:div>
    <w:div w:id="2049796126">
      <w:bodyDiv w:val="1"/>
      <w:marLeft w:val="0"/>
      <w:marRight w:val="0"/>
      <w:marTop w:val="0"/>
      <w:marBottom w:val="0"/>
      <w:divBdr>
        <w:top w:val="none" w:sz="0" w:space="0" w:color="auto"/>
        <w:left w:val="none" w:sz="0" w:space="0" w:color="auto"/>
        <w:bottom w:val="none" w:sz="0" w:space="0" w:color="auto"/>
        <w:right w:val="none" w:sz="0" w:space="0" w:color="auto"/>
      </w:divBdr>
    </w:div>
    <w:div w:id="2076194684">
      <w:bodyDiv w:val="1"/>
      <w:marLeft w:val="0"/>
      <w:marRight w:val="0"/>
      <w:marTop w:val="0"/>
      <w:marBottom w:val="0"/>
      <w:divBdr>
        <w:top w:val="none" w:sz="0" w:space="0" w:color="auto"/>
        <w:left w:val="none" w:sz="0" w:space="0" w:color="auto"/>
        <w:bottom w:val="none" w:sz="0" w:space="0" w:color="auto"/>
        <w:right w:val="none" w:sz="0" w:space="0" w:color="auto"/>
      </w:divBdr>
      <w:divsChild>
        <w:div w:id="1118794597">
          <w:marLeft w:val="0"/>
          <w:marRight w:val="0"/>
          <w:marTop w:val="0"/>
          <w:marBottom w:val="0"/>
          <w:divBdr>
            <w:top w:val="none" w:sz="0" w:space="0" w:color="auto"/>
            <w:left w:val="none" w:sz="0" w:space="0" w:color="auto"/>
            <w:bottom w:val="none" w:sz="0" w:space="0" w:color="auto"/>
            <w:right w:val="none" w:sz="0" w:space="0" w:color="auto"/>
          </w:divBdr>
        </w:div>
        <w:div w:id="257645305">
          <w:marLeft w:val="0"/>
          <w:marRight w:val="0"/>
          <w:marTop w:val="0"/>
          <w:marBottom w:val="0"/>
          <w:divBdr>
            <w:top w:val="none" w:sz="0" w:space="0" w:color="auto"/>
            <w:left w:val="none" w:sz="0" w:space="0" w:color="auto"/>
            <w:bottom w:val="none" w:sz="0" w:space="0" w:color="auto"/>
            <w:right w:val="none" w:sz="0" w:space="0" w:color="auto"/>
          </w:divBdr>
        </w:div>
        <w:div w:id="865170647">
          <w:marLeft w:val="0"/>
          <w:marRight w:val="0"/>
          <w:marTop w:val="0"/>
          <w:marBottom w:val="0"/>
          <w:divBdr>
            <w:top w:val="none" w:sz="0" w:space="0" w:color="auto"/>
            <w:left w:val="none" w:sz="0" w:space="0" w:color="auto"/>
            <w:bottom w:val="none" w:sz="0" w:space="0" w:color="auto"/>
            <w:right w:val="none" w:sz="0" w:space="0" w:color="auto"/>
          </w:divBdr>
        </w:div>
        <w:div w:id="1971666641">
          <w:marLeft w:val="0"/>
          <w:marRight w:val="0"/>
          <w:marTop w:val="0"/>
          <w:marBottom w:val="0"/>
          <w:divBdr>
            <w:top w:val="none" w:sz="0" w:space="0" w:color="auto"/>
            <w:left w:val="none" w:sz="0" w:space="0" w:color="auto"/>
            <w:bottom w:val="none" w:sz="0" w:space="0" w:color="auto"/>
            <w:right w:val="none" w:sz="0" w:space="0" w:color="auto"/>
          </w:divBdr>
        </w:div>
        <w:div w:id="2134976177">
          <w:marLeft w:val="0"/>
          <w:marRight w:val="0"/>
          <w:marTop w:val="0"/>
          <w:marBottom w:val="0"/>
          <w:divBdr>
            <w:top w:val="none" w:sz="0" w:space="0" w:color="auto"/>
            <w:left w:val="none" w:sz="0" w:space="0" w:color="auto"/>
            <w:bottom w:val="none" w:sz="0" w:space="0" w:color="auto"/>
            <w:right w:val="none" w:sz="0" w:space="0" w:color="auto"/>
          </w:divBdr>
        </w:div>
        <w:div w:id="1465152048">
          <w:marLeft w:val="0"/>
          <w:marRight w:val="0"/>
          <w:marTop w:val="0"/>
          <w:marBottom w:val="0"/>
          <w:divBdr>
            <w:top w:val="none" w:sz="0" w:space="0" w:color="auto"/>
            <w:left w:val="none" w:sz="0" w:space="0" w:color="auto"/>
            <w:bottom w:val="none" w:sz="0" w:space="0" w:color="auto"/>
            <w:right w:val="none" w:sz="0" w:space="0" w:color="auto"/>
          </w:divBdr>
        </w:div>
        <w:div w:id="1423449252">
          <w:marLeft w:val="0"/>
          <w:marRight w:val="0"/>
          <w:marTop w:val="0"/>
          <w:marBottom w:val="0"/>
          <w:divBdr>
            <w:top w:val="none" w:sz="0" w:space="0" w:color="auto"/>
            <w:left w:val="none" w:sz="0" w:space="0" w:color="auto"/>
            <w:bottom w:val="none" w:sz="0" w:space="0" w:color="auto"/>
            <w:right w:val="none" w:sz="0" w:space="0" w:color="auto"/>
          </w:divBdr>
        </w:div>
        <w:div w:id="1040013810">
          <w:marLeft w:val="0"/>
          <w:marRight w:val="0"/>
          <w:marTop w:val="0"/>
          <w:marBottom w:val="0"/>
          <w:divBdr>
            <w:top w:val="none" w:sz="0" w:space="0" w:color="auto"/>
            <w:left w:val="none" w:sz="0" w:space="0" w:color="auto"/>
            <w:bottom w:val="none" w:sz="0" w:space="0" w:color="auto"/>
            <w:right w:val="none" w:sz="0" w:space="0" w:color="auto"/>
          </w:divBdr>
        </w:div>
        <w:div w:id="1197813838">
          <w:marLeft w:val="0"/>
          <w:marRight w:val="0"/>
          <w:marTop w:val="0"/>
          <w:marBottom w:val="0"/>
          <w:divBdr>
            <w:top w:val="none" w:sz="0" w:space="0" w:color="auto"/>
            <w:left w:val="none" w:sz="0" w:space="0" w:color="auto"/>
            <w:bottom w:val="none" w:sz="0" w:space="0" w:color="auto"/>
            <w:right w:val="none" w:sz="0" w:space="0" w:color="auto"/>
          </w:divBdr>
        </w:div>
        <w:div w:id="1226181955">
          <w:marLeft w:val="0"/>
          <w:marRight w:val="0"/>
          <w:marTop w:val="0"/>
          <w:marBottom w:val="0"/>
          <w:divBdr>
            <w:top w:val="none" w:sz="0" w:space="0" w:color="auto"/>
            <w:left w:val="none" w:sz="0" w:space="0" w:color="auto"/>
            <w:bottom w:val="none" w:sz="0" w:space="0" w:color="auto"/>
            <w:right w:val="none" w:sz="0" w:space="0" w:color="auto"/>
          </w:divBdr>
        </w:div>
        <w:div w:id="1215314730">
          <w:marLeft w:val="0"/>
          <w:marRight w:val="0"/>
          <w:marTop w:val="0"/>
          <w:marBottom w:val="0"/>
          <w:divBdr>
            <w:top w:val="none" w:sz="0" w:space="0" w:color="auto"/>
            <w:left w:val="none" w:sz="0" w:space="0" w:color="auto"/>
            <w:bottom w:val="none" w:sz="0" w:space="0" w:color="auto"/>
            <w:right w:val="none" w:sz="0" w:space="0" w:color="auto"/>
          </w:divBdr>
        </w:div>
        <w:div w:id="1236743623">
          <w:marLeft w:val="0"/>
          <w:marRight w:val="0"/>
          <w:marTop w:val="0"/>
          <w:marBottom w:val="0"/>
          <w:divBdr>
            <w:top w:val="none" w:sz="0" w:space="0" w:color="auto"/>
            <w:left w:val="none" w:sz="0" w:space="0" w:color="auto"/>
            <w:bottom w:val="none" w:sz="0" w:space="0" w:color="auto"/>
            <w:right w:val="none" w:sz="0" w:space="0" w:color="auto"/>
          </w:divBdr>
        </w:div>
        <w:div w:id="1026060070">
          <w:marLeft w:val="0"/>
          <w:marRight w:val="0"/>
          <w:marTop w:val="0"/>
          <w:marBottom w:val="0"/>
          <w:divBdr>
            <w:top w:val="none" w:sz="0" w:space="0" w:color="auto"/>
            <w:left w:val="none" w:sz="0" w:space="0" w:color="auto"/>
            <w:bottom w:val="none" w:sz="0" w:space="0" w:color="auto"/>
            <w:right w:val="none" w:sz="0" w:space="0" w:color="auto"/>
          </w:divBdr>
        </w:div>
      </w:divsChild>
    </w:div>
    <w:div w:id="2123574049">
      <w:bodyDiv w:val="1"/>
      <w:marLeft w:val="0"/>
      <w:marRight w:val="0"/>
      <w:marTop w:val="0"/>
      <w:marBottom w:val="0"/>
      <w:divBdr>
        <w:top w:val="none" w:sz="0" w:space="0" w:color="auto"/>
        <w:left w:val="none" w:sz="0" w:space="0" w:color="auto"/>
        <w:bottom w:val="none" w:sz="0" w:space="0" w:color="auto"/>
        <w:right w:val="none" w:sz="0" w:space="0" w:color="auto"/>
      </w:divBdr>
    </w:div>
    <w:div w:id="2146270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C83A-151C-4868-8371-1D2085584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2073</Words>
  <Characters>12003</Characters>
  <Application>Microsoft Office Word</Application>
  <DocSecurity>0</DocSecurity>
  <Lines>363</Lines>
  <Paragraphs>151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 Cortes</dc:creator>
  <cp:keywords/>
  <dc:description/>
  <cp:lastModifiedBy>Hugo Palacios</cp:lastModifiedBy>
  <cp:revision>3</cp:revision>
  <cp:lastPrinted>2026-04-24T16:21:00Z</cp:lastPrinted>
  <dcterms:created xsi:type="dcterms:W3CDTF">2026-07-15T14:14:00Z</dcterms:created>
  <dcterms:modified xsi:type="dcterms:W3CDTF">2026-07-15T14:28:00Z</dcterms:modified>
</cp:coreProperties>
</file>